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贵州盘江精煤股份有限公司及所属企业2024年度第一批</w:t>
      </w:r>
    </w:p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bookmarkStart w:id="0" w:name="OLE_LINK2"/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报废设备</w:t>
      </w:r>
      <w:bookmarkEnd w:id="0"/>
      <w:r>
        <w:rPr>
          <w:rFonts w:hint="eastAsia" w:ascii="黑体" w:hAnsi="黑体" w:eastAsia="黑体" w:cs="宋体"/>
          <w:kern w:val="0"/>
          <w:sz w:val="30"/>
          <w:szCs w:val="30"/>
        </w:rPr>
        <w:t>处置现场踏勘确认书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贵州盘江精煤股份有限公司及所属企业2024年度第一批报废设备处置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贵州盘江精煤股份有限公司、贵州盘南煤炭开发有限责任公司厂区和下属各矿区内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贵州盘江精煤股份有限公司、贵州盘南煤炭开发有限责任公司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，对贵州盘江精煤股份有限公司及所属企业2024年度第一批报废设备进行了实地踏勘。本公司对转让方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处置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2024年度第一批报废设备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处置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的贵州盘江精煤股份有限公司及所属企业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2024年度第一批报废设备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全部现状及缺陷，并愿承担一切责任与风险（包括受让后进行拆运作业的环境和安全风险）。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4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1A8B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10EC018E"/>
    <w:rsid w:val="12406B37"/>
    <w:rsid w:val="1BFB3A3A"/>
    <w:rsid w:val="20091AE4"/>
    <w:rsid w:val="21723DED"/>
    <w:rsid w:val="2C04781F"/>
    <w:rsid w:val="2DAC7E70"/>
    <w:rsid w:val="3DA5303C"/>
    <w:rsid w:val="3FB45F5E"/>
    <w:rsid w:val="666966C7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470</Words>
  <Characters>491</Characters>
  <Lines>3</Lines>
  <Paragraphs>1</Paragraphs>
  <TotalTime>4</TotalTime>
  <ScaleCrop>false</ScaleCrop>
  <LinksUpToDate>false</LinksUpToDate>
  <CharactersWithSpaces>511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2024-07-12T01:40:53Z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AC0792790DDB483BB605DB641A9EFA5D_13</vt:lpwstr>
  </property>
</Properties>
</file>