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b/>
          <w:sz w:val="32"/>
          <w:szCs w:val="32"/>
        </w:rPr>
      </w:pPr>
      <w:bookmarkStart w:id="0" w:name="OLE_LINK2"/>
      <w:bookmarkStart w:id="1" w:name="OLE_LINK1"/>
      <w:r>
        <w:rPr>
          <w:rFonts w:ascii="楷体" w:hAnsi="楷体" w:eastAsia="楷体" w:cs="Times New Roman"/>
          <w:b/>
          <w:sz w:val="32"/>
          <w:szCs w:val="32"/>
        </w:rPr>
        <w:t>贵州双龙航空港资产运营有限公司</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sz w:val="32"/>
          <w:szCs w:val="32"/>
        </w:rPr>
      </w:pPr>
      <w:r>
        <w:rPr>
          <w:rFonts w:ascii="楷体" w:hAnsi="楷体" w:eastAsia="楷体" w:cs="Times New Roman"/>
          <w:sz w:val="32"/>
          <w:szCs w:val="32"/>
        </w:rPr>
        <w:t>与</w:t>
      </w:r>
    </w:p>
    <w:p>
      <w:pPr>
        <w:spacing w:before="156" w:beforeLines="50" w:after="468" w:afterLines="150" w:line="400" w:lineRule="exact"/>
        <w:jc w:val="center"/>
        <w:rPr>
          <w:rFonts w:ascii="楷体" w:hAnsi="楷体" w:eastAsia="楷体" w:cs="Times New Roman"/>
          <w:b/>
          <w:sz w:val="32"/>
          <w:szCs w:val="32"/>
        </w:rPr>
      </w:pPr>
      <w:r>
        <w:rPr>
          <w:rFonts w:ascii="楷体" w:hAnsi="楷体" w:eastAsia="楷体" w:cs="Times New Roman"/>
          <w:b/>
          <w:sz w:val="32"/>
          <w:szCs w:val="32"/>
        </w:rPr>
        <w:t>【   】</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b/>
          <w:sz w:val="32"/>
          <w:szCs w:val="32"/>
        </w:rPr>
      </w:pPr>
      <w:r>
        <w:rPr>
          <w:rFonts w:ascii="楷体" w:hAnsi="楷体" w:eastAsia="楷体" w:cs="Times New Roman"/>
          <w:b/>
          <w:sz w:val="32"/>
          <w:szCs w:val="32"/>
        </w:rPr>
        <w:t>及</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b/>
          <w:sz w:val="32"/>
          <w:szCs w:val="32"/>
        </w:rPr>
      </w:pPr>
      <w:r>
        <w:rPr>
          <w:rFonts w:ascii="楷体" w:hAnsi="楷体" w:eastAsia="楷体" w:cs="Times New Roman"/>
          <w:b/>
          <w:sz w:val="32"/>
          <w:szCs w:val="32"/>
        </w:rPr>
        <w:t>贵州双龙航空港产城融合房地产开发有限公司</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sz w:val="32"/>
          <w:szCs w:val="32"/>
        </w:rPr>
      </w:pPr>
      <w:r>
        <w:rPr>
          <w:rFonts w:ascii="楷体" w:hAnsi="楷体" w:eastAsia="楷体" w:cs="Times New Roman"/>
          <w:sz w:val="32"/>
          <w:szCs w:val="32"/>
        </w:rPr>
        <w:t>关于</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b/>
          <w:sz w:val="32"/>
          <w:szCs w:val="32"/>
        </w:rPr>
      </w:pPr>
      <w:r>
        <w:rPr>
          <w:rFonts w:ascii="楷体" w:hAnsi="楷体" w:eastAsia="楷体" w:cs="Times New Roman"/>
          <w:b/>
          <w:sz w:val="32"/>
          <w:szCs w:val="32"/>
        </w:rPr>
        <w:t>贵州双龙航空港产城融合房地产开发有限公司</w:t>
      </w:r>
    </w:p>
    <w:p>
      <w:pPr>
        <w:tabs>
          <w:tab w:val="left" w:pos="720"/>
          <w:tab w:val="left" w:pos="1440"/>
          <w:tab w:val="left" w:pos="2160"/>
          <w:tab w:val="left" w:pos="2880"/>
          <w:tab w:val="left" w:pos="5040"/>
          <w:tab w:val="left" w:pos="5760"/>
          <w:tab w:val="left" w:pos="6480"/>
          <w:tab w:val="left" w:pos="7200"/>
          <w:tab w:val="left" w:pos="8352"/>
        </w:tabs>
        <w:spacing w:before="156" w:beforeLines="50" w:after="468" w:afterLines="150" w:line="400" w:lineRule="exact"/>
        <w:jc w:val="center"/>
        <w:rPr>
          <w:rFonts w:ascii="楷体" w:hAnsi="楷体" w:eastAsia="楷体" w:cs="Times New Roman"/>
          <w:sz w:val="32"/>
          <w:szCs w:val="32"/>
        </w:rPr>
      </w:pPr>
      <w:r>
        <w:rPr>
          <w:rFonts w:ascii="楷体" w:hAnsi="楷体" w:eastAsia="楷体" w:cs="Times New Roman"/>
          <w:sz w:val="32"/>
          <w:szCs w:val="32"/>
        </w:rPr>
        <w:t>之</w:t>
      </w:r>
    </w:p>
    <w:p>
      <w:pPr>
        <w:spacing w:before="156" w:beforeLines="50" w:after="156" w:afterLines="50" w:line="400" w:lineRule="exact"/>
        <w:rPr>
          <w:rFonts w:ascii="楷体" w:hAnsi="楷体" w:eastAsia="楷体" w:cs="Times New Roman"/>
          <w:sz w:val="32"/>
          <w:szCs w:val="32"/>
        </w:rPr>
      </w:pPr>
    </w:p>
    <w:p>
      <w:pPr>
        <w:spacing w:before="156" w:beforeLines="50" w:after="156" w:afterLines="50" w:line="400" w:lineRule="exact"/>
        <w:jc w:val="center"/>
        <w:rPr>
          <w:rFonts w:ascii="楷体" w:hAnsi="楷体" w:eastAsia="楷体" w:cs="Times New Roman"/>
          <w:b/>
          <w:sz w:val="32"/>
          <w:szCs w:val="32"/>
        </w:rPr>
      </w:pPr>
      <w:bookmarkStart w:id="2" w:name="_DV_M0"/>
      <w:bookmarkEnd w:id="2"/>
      <w:r>
        <w:rPr>
          <w:rFonts w:ascii="楷体" w:hAnsi="楷体" w:eastAsia="楷体" w:cs="Times New Roman"/>
          <w:b/>
          <w:sz w:val="32"/>
          <w:szCs w:val="32"/>
        </w:rPr>
        <w:t>产权转让合同</w:t>
      </w:r>
    </w:p>
    <w:p>
      <w:pPr>
        <w:widowControl/>
        <w:spacing w:before="156" w:beforeLines="50" w:after="156" w:afterLines="50" w:line="400" w:lineRule="exact"/>
        <w:jc w:val="left"/>
        <w:rPr>
          <w:rFonts w:ascii="楷体" w:hAnsi="楷体" w:eastAsia="楷体" w:cs="Times New Roman"/>
          <w:b/>
          <w:kern w:val="0"/>
          <w:sz w:val="24"/>
        </w:rPr>
        <w:sectPr>
          <w:headerReference r:id="rId3" w:type="default"/>
          <w:footerReference r:id="rId4" w:type="default"/>
          <w:pgSz w:w="11906" w:h="16838"/>
          <w:pgMar w:top="1440" w:right="1440" w:bottom="1440" w:left="1440" w:header="426" w:footer="992" w:gutter="0"/>
          <w:cols w:space="720" w:num="1"/>
          <w:docGrid w:type="lines" w:linePitch="312" w:charSpace="0"/>
        </w:sect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jc w:val="center"/>
        <w:rPr>
          <w:rFonts w:ascii="楷体" w:hAnsi="楷体" w:eastAsia="楷体" w:cs="Times New Roman"/>
          <w:b/>
          <w:sz w:val="24"/>
        </w:rPr>
      </w:pPr>
    </w:p>
    <w:p>
      <w:pPr>
        <w:spacing w:before="156" w:beforeLines="50" w:after="156" w:afterLines="50" w:line="400" w:lineRule="exact"/>
        <w:rPr>
          <w:rFonts w:ascii="楷体" w:hAnsi="楷体" w:eastAsia="楷体" w:cs="Times New Roman"/>
          <w:b/>
          <w:sz w:val="24"/>
        </w:rPr>
        <w:sectPr>
          <w:footerReference r:id="rId6" w:type="first"/>
          <w:footerReference r:id="rId5" w:type="default"/>
          <w:type w:val="continuous"/>
          <w:pgSz w:w="11906" w:h="16838"/>
          <w:pgMar w:top="1440" w:right="1440" w:bottom="1440" w:left="1440" w:header="851" w:footer="992" w:gutter="0"/>
          <w:cols w:space="720" w:num="1"/>
          <w:docGrid w:type="lines" w:linePitch="312" w:charSpace="0"/>
        </w:sectPr>
      </w:pPr>
    </w:p>
    <w:p>
      <w:pPr>
        <w:tabs>
          <w:tab w:val="left" w:pos="720"/>
          <w:tab w:val="left" w:pos="1440"/>
          <w:tab w:val="left" w:pos="2160"/>
          <w:tab w:val="left" w:pos="2880"/>
          <w:tab w:val="left" w:pos="5040"/>
          <w:tab w:val="left" w:pos="5760"/>
          <w:tab w:val="left" w:pos="6480"/>
          <w:tab w:val="left" w:pos="7200"/>
          <w:tab w:val="left" w:pos="8352"/>
        </w:tabs>
        <w:spacing w:before="156" w:beforeLines="50" w:after="156" w:afterLines="50" w:line="400" w:lineRule="exact"/>
        <w:jc w:val="center"/>
        <w:rPr>
          <w:rFonts w:ascii="楷体" w:hAnsi="楷体" w:eastAsia="楷体" w:cs="Times New Roman"/>
          <w:b/>
          <w:sz w:val="32"/>
          <w:szCs w:val="32"/>
        </w:rPr>
      </w:pPr>
      <w:r>
        <w:rPr>
          <w:rFonts w:ascii="楷体" w:hAnsi="楷体" w:eastAsia="楷体" w:cs="Times New Roman"/>
          <w:b/>
          <w:sz w:val="32"/>
          <w:szCs w:val="32"/>
        </w:rPr>
        <w:t>关于贵州双龙航空港产城融合房地产开发有限公司</w:t>
      </w:r>
    </w:p>
    <w:p>
      <w:pPr>
        <w:tabs>
          <w:tab w:val="left" w:pos="720"/>
          <w:tab w:val="left" w:pos="1440"/>
          <w:tab w:val="left" w:pos="2160"/>
          <w:tab w:val="left" w:pos="2880"/>
          <w:tab w:val="left" w:pos="5040"/>
          <w:tab w:val="left" w:pos="5760"/>
          <w:tab w:val="left" w:pos="6480"/>
          <w:tab w:val="left" w:pos="7200"/>
          <w:tab w:val="left" w:pos="8352"/>
        </w:tabs>
        <w:spacing w:before="156" w:beforeLines="50" w:after="156" w:afterLines="50" w:line="400" w:lineRule="exact"/>
        <w:jc w:val="center"/>
        <w:rPr>
          <w:rFonts w:ascii="楷体" w:hAnsi="楷体" w:eastAsia="楷体" w:cs="Times New Roman"/>
          <w:b/>
          <w:sz w:val="32"/>
          <w:szCs w:val="32"/>
        </w:rPr>
      </w:pPr>
      <w:r>
        <w:rPr>
          <w:rFonts w:ascii="楷体" w:hAnsi="楷体" w:eastAsia="楷体" w:cs="Times New Roman"/>
          <w:b/>
          <w:sz w:val="32"/>
          <w:szCs w:val="32"/>
        </w:rPr>
        <w:t>之</w:t>
      </w:r>
    </w:p>
    <w:p>
      <w:pPr>
        <w:spacing w:before="156" w:beforeLines="50" w:after="156" w:afterLines="50" w:line="400" w:lineRule="exact"/>
        <w:jc w:val="center"/>
        <w:rPr>
          <w:rFonts w:ascii="楷体" w:hAnsi="楷体" w:eastAsia="楷体" w:cs="Times New Roman"/>
          <w:b/>
          <w:sz w:val="32"/>
          <w:szCs w:val="32"/>
        </w:rPr>
      </w:pPr>
      <w:r>
        <w:rPr>
          <w:rFonts w:ascii="楷体" w:hAnsi="楷体" w:eastAsia="楷体" w:cs="Times New Roman"/>
          <w:b/>
          <w:sz w:val="32"/>
          <w:szCs w:val="32"/>
        </w:rPr>
        <w:t>产权转让合同</w:t>
      </w:r>
    </w:p>
    <w:p>
      <w:pPr>
        <w:spacing w:before="156" w:beforeLines="50" w:after="156" w:afterLines="50" w:line="400" w:lineRule="exact"/>
        <w:jc w:val="right"/>
        <w:rPr>
          <w:rFonts w:ascii="楷体" w:hAnsi="楷体" w:eastAsia="楷体" w:cs="Times New Roman"/>
          <w:sz w:val="24"/>
          <w:szCs w:val="24"/>
        </w:rPr>
      </w:pPr>
      <w:r>
        <w:rPr>
          <w:rFonts w:ascii="楷体" w:hAnsi="楷体" w:eastAsia="楷体" w:cs="Times New Roman"/>
          <w:sz w:val="24"/>
          <w:szCs w:val="24"/>
        </w:rPr>
        <w:t>合同编号：【】</w:t>
      </w:r>
    </w:p>
    <w:p>
      <w:pPr>
        <w:spacing w:before="156" w:beforeLines="50" w:after="156" w:afterLines="50" w:line="400" w:lineRule="exact"/>
        <w:rPr>
          <w:rFonts w:ascii="楷体" w:hAnsi="楷体" w:eastAsia="楷体" w:cs="Times New Roman"/>
          <w:sz w:val="24"/>
        </w:rPr>
      </w:pPr>
      <w:r>
        <w:rPr>
          <w:rFonts w:ascii="楷体" w:hAnsi="楷体" w:eastAsia="楷体" w:cs="Times New Roman"/>
          <w:sz w:val="24"/>
        </w:rPr>
        <w:t>本</w:t>
      </w:r>
      <w:r>
        <w:rPr>
          <w:rFonts w:ascii="楷体" w:hAnsi="楷体" w:eastAsia="楷体" w:cs="Times New Roman"/>
          <w:sz w:val="24"/>
          <w:szCs w:val="24"/>
        </w:rPr>
        <w:t>《关于</w:t>
      </w:r>
      <w:r>
        <w:rPr>
          <w:rFonts w:ascii="楷体" w:hAnsi="楷体" w:eastAsia="楷体" w:cs="Times New Roman"/>
          <w:bCs/>
          <w:sz w:val="24"/>
          <w:szCs w:val="24"/>
        </w:rPr>
        <w:t>贵州双龙航空港产城融合房地产开发有限公司</w:t>
      </w:r>
      <w:r>
        <w:rPr>
          <w:rFonts w:ascii="楷体" w:hAnsi="楷体" w:eastAsia="楷体" w:cs="Times New Roman"/>
          <w:sz w:val="24"/>
          <w:szCs w:val="24"/>
        </w:rPr>
        <w:t>之产权转让合同》（下称“</w:t>
      </w:r>
      <w:r>
        <w:rPr>
          <w:rFonts w:ascii="楷体" w:hAnsi="楷体" w:eastAsia="楷体" w:cs="Times New Roman"/>
          <w:b/>
          <w:sz w:val="24"/>
          <w:szCs w:val="24"/>
        </w:rPr>
        <w:t>本合同</w:t>
      </w:r>
      <w:r>
        <w:rPr>
          <w:rFonts w:ascii="楷体" w:hAnsi="楷体" w:eastAsia="楷体" w:cs="Times New Roman"/>
          <w:sz w:val="24"/>
          <w:szCs w:val="24"/>
        </w:rPr>
        <w:t>”）</w:t>
      </w:r>
      <w:r>
        <w:rPr>
          <w:rFonts w:ascii="楷体" w:hAnsi="楷体" w:eastAsia="楷体" w:cs="Times New Roman"/>
          <w:sz w:val="24"/>
        </w:rPr>
        <w:t>由以下各方于</w:t>
      </w:r>
      <w:r>
        <w:rPr>
          <w:rFonts w:ascii="楷体" w:hAnsi="楷体" w:eastAsia="楷体" w:cs="Times New Roman"/>
          <w:sz w:val="24"/>
          <w:szCs w:val="24"/>
        </w:rPr>
        <w:t>【     】年【    】月【    】</w:t>
      </w:r>
      <w:r>
        <w:rPr>
          <w:rFonts w:ascii="楷体" w:hAnsi="楷体" w:eastAsia="楷体" w:cs="Times New Roman"/>
          <w:sz w:val="24"/>
        </w:rPr>
        <w:t>日在</w:t>
      </w:r>
      <w:r>
        <w:rPr>
          <w:rFonts w:ascii="楷体" w:hAnsi="楷体" w:eastAsia="楷体" w:cs="Times New Roman"/>
          <w:sz w:val="24"/>
          <w:szCs w:val="24"/>
        </w:rPr>
        <w:t>【】</w:t>
      </w:r>
      <w:r>
        <w:rPr>
          <w:rFonts w:ascii="楷体" w:hAnsi="楷体" w:eastAsia="楷体" w:cs="Times New Roman"/>
          <w:sz w:val="24"/>
        </w:rPr>
        <w:t>共同签署</w:t>
      </w:r>
      <w:r>
        <w:rPr>
          <w:rFonts w:ascii="楷体" w:hAnsi="楷体" w:eastAsia="楷体" w:cs="Times New Roman"/>
          <w:sz w:val="24"/>
          <w:szCs w:val="24"/>
        </w:rPr>
        <w:t>。</w:t>
      </w:r>
    </w:p>
    <w:p>
      <w:pPr>
        <w:spacing w:line="400" w:lineRule="exact"/>
        <w:rPr>
          <w:rFonts w:ascii="楷体" w:hAnsi="楷体" w:eastAsia="楷体" w:cs="Times New Roman"/>
          <w:b/>
          <w:sz w:val="24"/>
        </w:rPr>
      </w:pPr>
      <w:r>
        <w:rPr>
          <w:rFonts w:ascii="楷体" w:hAnsi="楷体" w:eastAsia="楷体" w:cs="Times New Roman"/>
          <w:b/>
          <w:sz w:val="24"/>
        </w:rPr>
        <w:t>甲方：贵州双龙航空港资产运营有限公司</w:t>
      </w:r>
    </w:p>
    <w:p>
      <w:pPr>
        <w:spacing w:line="400" w:lineRule="exact"/>
        <w:rPr>
          <w:rFonts w:ascii="楷体" w:hAnsi="楷体" w:eastAsia="楷体" w:cs="Times New Roman"/>
          <w:sz w:val="24"/>
        </w:rPr>
      </w:pPr>
      <w:r>
        <w:rPr>
          <w:rFonts w:ascii="楷体" w:hAnsi="楷体" w:eastAsia="楷体" w:cs="Times New Roman"/>
          <w:sz w:val="24"/>
        </w:rPr>
        <w:t>法定代表人：</w:t>
      </w:r>
      <w:r>
        <w:rPr>
          <w:rFonts w:ascii="楷体" w:hAnsi="楷体" w:eastAsia="楷体" w:cs="Times New Roman"/>
          <w:sz w:val="24"/>
          <w:szCs w:val="24"/>
        </w:rPr>
        <w:t>杨壹茜</w:t>
      </w:r>
    </w:p>
    <w:p>
      <w:pPr>
        <w:spacing w:line="400" w:lineRule="exact"/>
        <w:rPr>
          <w:rFonts w:ascii="楷体" w:hAnsi="楷体" w:eastAsia="楷体" w:cs="Times New Roman"/>
          <w:sz w:val="24"/>
          <w:szCs w:val="24"/>
        </w:rPr>
      </w:pPr>
      <w:r>
        <w:rPr>
          <w:rFonts w:ascii="楷体" w:hAnsi="楷体" w:eastAsia="楷体" w:cs="Times New Roman"/>
          <w:sz w:val="24"/>
        </w:rPr>
        <w:t>注册地址：</w:t>
      </w:r>
      <w:r>
        <w:rPr>
          <w:rFonts w:ascii="楷体" w:hAnsi="楷体" w:eastAsia="楷体" w:cs="Times New Roman"/>
          <w:sz w:val="24"/>
          <w:szCs w:val="24"/>
        </w:rPr>
        <w:t>贵州省贵阳市贵州双龙航空港经济区龙洞社区服务中心机场路9号太升国际A2栋14层1402-507</w:t>
      </w:r>
    </w:p>
    <w:p>
      <w:pPr>
        <w:spacing w:line="400" w:lineRule="exact"/>
        <w:rPr>
          <w:rFonts w:ascii="楷体" w:hAnsi="楷体" w:eastAsia="楷体" w:cs="Times New Roman"/>
          <w:sz w:val="24"/>
        </w:rPr>
      </w:pPr>
      <w:r>
        <w:rPr>
          <w:rFonts w:ascii="楷体" w:hAnsi="楷体" w:eastAsia="楷体" w:cs="Times New Roman"/>
          <w:sz w:val="24"/>
          <w:szCs w:val="24"/>
        </w:rPr>
        <w:t>统一社会信用代码：</w:t>
      </w:r>
      <w:bookmarkStart w:id="54" w:name="_GoBack"/>
      <w:bookmarkEnd w:id="54"/>
    </w:p>
    <w:p>
      <w:pPr>
        <w:spacing w:before="156" w:beforeLines="50" w:line="400" w:lineRule="exact"/>
        <w:rPr>
          <w:rFonts w:ascii="楷体" w:hAnsi="楷体" w:eastAsia="楷体" w:cs="Times New Roman"/>
          <w:b/>
          <w:sz w:val="24"/>
        </w:rPr>
      </w:pPr>
      <w:r>
        <w:rPr>
          <w:rFonts w:ascii="楷体" w:hAnsi="楷体" w:eastAsia="楷体" w:cs="Times New Roman"/>
          <w:b/>
          <w:sz w:val="24"/>
        </w:rPr>
        <w:t xml:space="preserve">乙方： </w:t>
      </w:r>
    </w:p>
    <w:p>
      <w:pPr>
        <w:spacing w:before="156" w:beforeLines="50" w:line="400" w:lineRule="exact"/>
        <w:rPr>
          <w:rFonts w:ascii="楷体" w:hAnsi="楷体" w:eastAsia="楷体" w:cs="Times New Roman"/>
          <w:sz w:val="24"/>
        </w:rPr>
      </w:pPr>
    </w:p>
    <w:p>
      <w:pPr>
        <w:spacing w:before="156" w:beforeLines="50" w:line="400" w:lineRule="exact"/>
        <w:rPr>
          <w:rFonts w:ascii="楷体" w:hAnsi="楷体" w:eastAsia="楷体" w:cs="Times New Roman"/>
          <w:b/>
          <w:sz w:val="24"/>
        </w:rPr>
      </w:pPr>
      <w:r>
        <w:rPr>
          <w:rFonts w:ascii="楷体" w:hAnsi="楷体" w:eastAsia="楷体" w:cs="Times New Roman"/>
          <w:b/>
          <w:sz w:val="24"/>
        </w:rPr>
        <w:t>目标公司：</w:t>
      </w:r>
      <w:r>
        <w:rPr>
          <w:rFonts w:ascii="楷体" w:hAnsi="楷体" w:eastAsia="楷体" w:cs="Times New Roman"/>
          <w:b/>
          <w:sz w:val="24"/>
          <w:szCs w:val="24"/>
        </w:rPr>
        <w:t>贵州双龙航空港产城融合房地产开发有限公司</w:t>
      </w:r>
    </w:p>
    <w:p>
      <w:pPr>
        <w:spacing w:line="400" w:lineRule="exact"/>
        <w:rPr>
          <w:rFonts w:ascii="楷体" w:hAnsi="楷体" w:eastAsia="楷体" w:cs="Times New Roman"/>
          <w:sz w:val="24"/>
        </w:rPr>
      </w:pPr>
      <w:r>
        <w:rPr>
          <w:rFonts w:ascii="楷体" w:hAnsi="楷体" w:eastAsia="楷体" w:cs="Times New Roman"/>
          <w:sz w:val="24"/>
        </w:rPr>
        <w:t xml:space="preserve">法定代表人： </w:t>
      </w:r>
    </w:p>
    <w:p>
      <w:pPr>
        <w:spacing w:line="400" w:lineRule="exact"/>
        <w:rPr>
          <w:rFonts w:ascii="楷体" w:hAnsi="楷体" w:eastAsia="楷体" w:cs="Times New Roman"/>
          <w:sz w:val="24"/>
          <w:szCs w:val="24"/>
        </w:rPr>
      </w:pPr>
      <w:r>
        <w:rPr>
          <w:rFonts w:ascii="楷体" w:hAnsi="楷体" w:eastAsia="楷体" w:cs="Times New Roman"/>
          <w:sz w:val="24"/>
        </w:rPr>
        <w:t>注册地址：</w:t>
      </w:r>
      <w:r>
        <w:rPr>
          <w:rFonts w:ascii="楷体" w:hAnsi="楷体" w:eastAsia="楷体" w:cs="Times New Roman"/>
          <w:sz w:val="24"/>
          <w:szCs w:val="24"/>
        </w:rPr>
        <w:t xml:space="preserve"> </w:t>
      </w:r>
    </w:p>
    <w:p>
      <w:pPr>
        <w:spacing w:line="400" w:lineRule="exact"/>
        <w:rPr>
          <w:rFonts w:ascii="楷体" w:hAnsi="楷体" w:eastAsia="楷体" w:cs="Times New Roman"/>
          <w:sz w:val="24"/>
          <w:szCs w:val="24"/>
        </w:rPr>
      </w:pPr>
      <w:r>
        <w:rPr>
          <w:rFonts w:ascii="楷体" w:hAnsi="楷体" w:eastAsia="楷体" w:cs="Times New Roman"/>
          <w:sz w:val="24"/>
          <w:szCs w:val="24"/>
        </w:rPr>
        <w:t>统一社会信用代码：</w:t>
      </w:r>
    </w:p>
    <w:p>
      <w:pPr>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（本合同中，甲方与乙方合称为“</w:t>
      </w:r>
      <w:r>
        <w:rPr>
          <w:rFonts w:ascii="楷体" w:hAnsi="楷体" w:eastAsia="楷体" w:cs="Times New Roman"/>
          <w:b/>
          <w:sz w:val="24"/>
          <w:szCs w:val="24"/>
        </w:rPr>
        <w:t>双方</w:t>
      </w:r>
      <w:r>
        <w:rPr>
          <w:rFonts w:ascii="楷体" w:hAnsi="楷体" w:eastAsia="楷体" w:cs="Times New Roman"/>
          <w:sz w:val="24"/>
          <w:szCs w:val="24"/>
        </w:rPr>
        <w:t>”，甲方、乙方及目标公司合成为“</w:t>
      </w:r>
      <w:r>
        <w:rPr>
          <w:rFonts w:ascii="楷体" w:hAnsi="楷体" w:eastAsia="楷体" w:cs="Times New Roman"/>
          <w:b/>
          <w:sz w:val="24"/>
          <w:szCs w:val="24"/>
        </w:rPr>
        <w:t>各方</w:t>
      </w:r>
      <w:r>
        <w:rPr>
          <w:rFonts w:ascii="楷体" w:hAnsi="楷体" w:eastAsia="楷体" w:cs="Times New Roman"/>
          <w:sz w:val="24"/>
          <w:szCs w:val="24"/>
        </w:rPr>
        <w:t>”，单称“</w:t>
      </w:r>
      <w:r>
        <w:rPr>
          <w:rFonts w:ascii="楷体" w:hAnsi="楷体" w:eastAsia="楷体" w:cs="Times New Roman"/>
          <w:b/>
          <w:sz w:val="24"/>
          <w:szCs w:val="24"/>
        </w:rPr>
        <w:t>一方</w:t>
      </w:r>
      <w:r>
        <w:rPr>
          <w:rFonts w:ascii="楷体" w:hAnsi="楷体" w:eastAsia="楷体" w:cs="Times New Roman"/>
          <w:sz w:val="24"/>
          <w:szCs w:val="24"/>
        </w:rPr>
        <w:t>”或“</w:t>
      </w:r>
      <w:r>
        <w:rPr>
          <w:rFonts w:ascii="楷体" w:hAnsi="楷体" w:eastAsia="楷体" w:cs="Times New Roman"/>
          <w:b/>
          <w:sz w:val="24"/>
          <w:szCs w:val="24"/>
        </w:rPr>
        <w:t>任何一方</w:t>
      </w:r>
      <w:r>
        <w:rPr>
          <w:rFonts w:ascii="楷体" w:hAnsi="楷体" w:eastAsia="楷体" w:cs="Times New Roman"/>
          <w:sz w:val="24"/>
          <w:szCs w:val="24"/>
        </w:rPr>
        <w:t>”。）</w:t>
      </w:r>
    </w:p>
    <w:p>
      <w:pPr>
        <w:adjustRightInd w:val="0"/>
        <w:snapToGrid w:val="0"/>
        <w:spacing w:before="156" w:beforeLines="50" w:after="156" w:afterLines="50" w:line="400" w:lineRule="exact"/>
        <w:ind w:firstLine="480" w:firstLineChars="200"/>
        <w:rPr>
          <w:rFonts w:ascii="楷体" w:hAnsi="楷体" w:eastAsia="楷体" w:cs="Times New Roman"/>
          <w:sz w:val="24"/>
        </w:rPr>
      </w:pPr>
      <w:r>
        <w:rPr>
          <w:rFonts w:ascii="楷体" w:hAnsi="楷体" w:eastAsia="楷体" w:cs="Times New Roman"/>
          <w:sz w:val="24"/>
        </w:rPr>
        <w:t>根据《中华人民共和国民法典》《中华人民共和国公司法》《中华人民共和国企业国有资产法》和《企业国有资产交易监督管理办法》等规定，</w:t>
      </w:r>
      <w:r>
        <w:rPr>
          <w:rFonts w:hint="eastAsia" w:ascii="楷体" w:hAnsi="楷体" w:eastAsia="楷体" w:cs="Times New Roman"/>
          <w:sz w:val="24"/>
        </w:rPr>
        <w:t>各方</w:t>
      </w:r>
      <w:r>
        <w:rPr>
          <w:rFonts w:ascii="楷体" w:hAnsi="楷体" w:eastAsia="楷体" w:cs="Times New Roman"/>
          <w:sz w:val="24"/>
        </w:rPr>
        <w:t>就</w:t>
      </w:r>
      <w:r>
        <w:rPr>
          <w:rFonts w:hint="eastAsia" w:ascii="楷体" w:hAnsi="楷体" w:eastAsia="楷体" w:cs="Times New Roman"/>
          <w:sz w:val="24"/>
        </w:rPr>
        <w:t>甲方转让其持有的目标公司100%股权</w:t>
      </w:r>
      <w:r>
        <w:rPr>
          <w:rFonts w:ascii="楷体" w:hAnsi="楷体" w:eastAsia="楷体" w:cs="Times New Roman"/>
          <w:sz w:val="24"/>
        </w:rPr>
        <w:t>的相关事宜达成一致，签订</w:t>
      </w:r>
      <w:r>
        <w:rPr>
          <w:rFonts w:hint="eastAsia" w:ascii="楷体" w:hAnsi="楷体" w:eastAsia="楷体" w:cs="Times New Roman"/>
          <w:sz w:val="24"/>
        </w:rPr>
        <w:t>本合同，以供各方遵照执行</w:t>
      </w:r>
      <w:r>
        <w:rPr>
          <w:rFonts w:ascii="楷体" w:hAnsi="楷体" w:eastAsia="楷体" w:cs="Times New Roman"/>
          <w:sz w:val="24"/>
        </w:rPr>
        <w:t>。</w:t>
      </w:r>
      <w:bookmarkStart w:id="3" w:name="_Toc358275072"/>
      <w:bookmarkStart w:id="4" w:name="_Toc358275536"/>
      <w:bookmarkStart w:id="5" w:name="_Toc328494915"/>
    </w:p>
    <w:bookmarkEnd w:id="3"/>
    <w:bookmarkEnd w:id="4"/>
    <w:bookmarkEnd w:id="5"/>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6" w:name="_Toc161334832"/>
      <w:r>
        <w:rPr>
          <w:rFonts w:ascii="楷体" w:hAnsi="楷体" w:eastAsia="楷体" w:cs="Times New Roman"/>
          <w:b/>
          <w:sz w:val="24"/>
          <w:szCs w:val="24"/>
        </w:rPr>
        <w:t>定义</w:t>
      </w:r>
      <w:bookmarkEnd w:id="6"/>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hint="eastAsia" w:ascii="楷体" w:hAnsi="楷体" w:eastAsia="楷体" w:cs="Times New Roman"/>
          <w:sz w:val="24"/>
          <w:szCs w:val="24"/>
        </w:rPr>
        <w:t>转让标的</w:t>
      </w:r>
      <w:r>
        <w:rPr>
          <w:rFonts w:ascii="楷体" w:hAnsi="楷体" w:eastAsia="楷体" w:cs="Times New Roman"/>
          <w:sz w:val="24"/>
          <w:szCs w:val="24"/>
        </w:rPr>
        <w:t>：指甲方所合计持有的、并拟转让的目标公司100%的股权。</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目标地块：指目标公司持有的不动产权证编号为</w:t>
      </w:r>
      <w:r>
        <w:rPr>
          <w:rFonts w:hint="eastAsia" w:ascii="楷体" w:hAnsi="楷体" w:eastAsia="楷体" w:cs="Times New Roman"/>
          <w:sz w:val="24"/>
          <w:szCs w:val="24"/>
        </w:rPr>
        <w:t>【黔（2023）贵阳市不动产权第0075197号】的土地使用权</w:t>
      </w:r>
      <w:r>
        <w:rPr>
          <w:rFonts w:ascii="楷体" w:hAnsi="楷体" w:eastAsia="楷体" w:cs="Times New Roman"/>
          <w:sz w:val="24"/>
          <w:szCs w:val="24"/>
        </w:rPr>
        <w:t>。</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目标项目：指目标公司</w:t>
      </w:r>
      <w:r>
        <w:rPr>
          <w:rFonts w:hint="eastAsia" w:ascii="楷体" w:hAnsi="楷体" w:eastAsia="楷体" w:cs="Times New Roman"/>
          <w:sz w:val="24"/>
          <w:szCs w:val="24"/>
        </w:rPr>
        <w:t>拟</w:t>
      </w:r>
      <w:r>
        <w:rPr>
          <w:rFonts w:ascii="楷体" w:hAnsi="楷体" w:eastAsia="楷体" w:cs="Times New Roman"/>
          <w:sz w:val="24"/>
          <w:szCs w:val="24"/>
        </w:rPr>
        <w:t>在目标地块上开发建设</w:t>
      </w:r>
      <w:r>
        <w:rPr>
          <w:rFonts w:hint="eastAsia" w:ascii="楷体" w:hAnsi="楷体" w:eastAsia="楷体" w:cs="Times New Roman"/>
          <w:sz w:val="24"/>
          <w:szCs w:val="24"/>
        </w:rPr>
        <w:t>的</w:t>
      </w:r>
      <w:r>
        <w:rPr>
          <w:rFonts w:ascii="楷体" w:hAnsi="楷体" w:eastAsia="楷体" w:cs="Times New Roman"/>
          <w:sz w:val="24"/>
          <w:szCs w:val="24"/>
        </w:rPr>
        <w:t>项目。</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交易</w:t>
      </w:r>
      <w:r>
        <w:rPr>
          <w:rFonts w:hint="eastAsia" w:ascii="楷体" w:hAnsi="楷体" w:eastAsia="楷体" w:cs="Times New Roman"/>
          <w:sz w:val="24"/>
          <w:szCs w:val="24"/>
        </w:rPr>
        <w:t>所</w:t>
      </w:r>
      <w:r>
        <w:rPr>
          <w:rFonts w:ascii="楷体" w:hAnsi="楷体" w:eastAsia="楷体" w:cs="Times New Roman"/>
          <w:sz w:val="24"/>
          <w:szCs w:val="24"/>
        </w:rPr>
        <w:t>：指贵州阳光产权交易所。</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hint="eastAsia" w:ascii="楷体" w:hAnsi="楷体" w:eastAsia="楷体" w:cs="Times New Roman"/>
          <w:sz w:val="24"/>
          <w:szCs w:val="24"/>
        </w:rPr>
        <w:t>转让价款：本合同下甲方就出让转让标的，自乙方获得的对价。</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hint="eastAsia" w:ascii="楷体" w:hAnsi="楷体" w:eastAsia="楷体" w:cs="Times New Roman"/>
          <w:sz w:val="24"/>
          <w:szCs w:val="24"/>
        </w:rPr>
        <w:t>评估基准日</w:t>
      </w:r>
      <w:r>
        <w:rPr>
          <w:rFonts w:ascii="楷体" w:hAnsi="楷体" w:eastAsia="楷体" w:cs="Times New Roman"/>
          <w:sz w:val="24"/>
          <w:szCs w:val="24"/>
        </w:rPr>
        <w:t>：指2023年12月31日。</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保证金：指乙方按照产权转让信息披露公告要求，支付至交易所指定账户的、</w:t>
      </w:r>
      <w:r>
        <w:rPr>
          <w:rFonts w:hint="eastAsia" w:ascii="楷体" w:hAnsi="楷体" w:eastAsia="楷体" w:cs="Times New Roman"/>
          <w:sz w:val="24"/>
          <w:szCs w:val="24"/>
        </w:rPr>
        <w:t>用于参与报名竞买转让标的的担保，为</w:t>
      </w:r>
      <w:r>
        <w:rPr>
          <w:rFonts w:hint="eastAsia" w:ascii="楷体" w:hAnsi="楷体" w:eastAsia="楷体" w:cs="Times New Roman"/>
          <w:sz w:val="24"/>
          <w:szCs w:val="24"/>
          <w:lang w:val="en-US" w:eastAsia="zh-CN"/>
        </w:rPr>
        <w:t>1500万</w:t>
      </w:r>
      <w:r>
        <w:rPr>
          <w:rFonts w:hint="eastAsia" w:ascii="楷体" w:hAnsi="楷体" w:eastAsia="楷体" w:cs="Times New Roman"/>
          <w:sz w:val="24"/>
          <w:szCs w:val="24"/>
        </w:rPr>
        <w:t>元</w:t>
      </w:r>
      <w:r>
        <w:rPr>
          <w:rFonts w:ascii="楷体" w:hAnsi="楷体" w:eastAsia="楷体" w:cs="Times New Roman"/>
          <w:sz w:val="24"/>
          <w:szCs w:val="24"/>
        </w:rPr>
        <w:t>。</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股权转让完成日：指</w:t>
      </w:r>
      <w:r>
        <w:rPr>
          <w:rFonts w:hint="eastAsia" w:ascii="楷体" w:hAnsi="楷体" w:eastAsia="楷体" w:cs="Times New Roman"/>
          <w:sz w:val="24"/>
          <w:szCs w:val="24"/>
        </w:rPr>
        <w:t>转让标的</w:t>
      </w:r>
      <w:r>
        <w:rPr>
          <w:rFonts w:ascii="楷体" w:hAnsi="楷体" w:eastAsia="楷体" w:cs="Times New Roman"/>
          <w:sz w:val="24"/>
          <w:szCs w:val="24"/>
        </w:rPr>
        <w:t>工商变更登记完成之日，以工商登记机关就该等转让向目标公司签发新的营业执照之日为准。</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工商登记机关：指主管目标公司设立、变更登记和备案工作的工商行政管理部门。</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第三方：指本合同各方以外的任何自然人、法人、其他组织或实体。</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工作日：指除星期六、星期天或者法律或行政法规规定或授权中国的商业银行休息日以外的任何一日。</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ascii="楷体" w:hAnsi="楷体" w:eastAsia="楷体" w:cs="Times New Roman"/>
          <w:sz w:val="24"/>
          <w:szCs w:val="24"/>
        </w:rPr>
        <w:t>日：指自然日，包括工作日和非工作日。</w:t>
      </w:r>
    </w:p>
    <w:p>
      <w:pPr>
        <w:numPr>
          <w:ilvl w:val="1"/>
          <w:numId w:val="1"/>
        </w:numPr>
        <w:tabs>
          <w:tab w:val="left" w:pos="1442"/>
        </w:tabs>
        <w:adjustRightInd w:val="0"/>
        <w:snapToGrid w:val="0"/>
        <w:spacing w:after="156" w:afterLines="50" w:line="400" w:lineRule="exact"/>
        <w:rPr>
          <w:rFonts w:ascii="楷体" w:hAnsi="楷体" w:eastAsia="楷体" w:cs="Times New Roman"/>
          <w:sz w:val="24"/>
          <w:szCs w:val="24"/>
        </w:rPr>
      </w:pPr>
      <w:r>
        <w:rPr>
          <w:rFonts w:hint="eastAsia" w:ascii="楷体" w:hAnsi="楷体" w:eastAsia="楷体" w:cs="Times New Roman"/>
          <w:sz w:val="24"/>
          <w:szCs w:val="24"/>
        </w:rPr>
        <w:t>元：指人民币的货币单位，如无特别约定，本合同所有计价货币均为人民币。</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r>
        <w:rPr>
          <w:rFonts w:ascii="楷体" w:hAnsi="楷体" w:eastAsia="楷体" w:cs="Times New Roman"/>
          <w:b/>
          <w:sz w:val="24"/>
          <w:szCs w:val="24"/>
        </w:rPr>
        <w:t>转让标的及转让方式</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目标公司成立于2022年12月21日，注册资本金为5000万元，已全额实缴。</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color w:val="auto"/>
          <w:sz w:val="24"/>
          <w:szCs w:val="24"/>
          <w:highlight w:val="none"/>
        </w:rPr>
      </w:pPr>
      <w:r>
        <w:rPr>
          <w:rFonts w:ascii="楷体" w:hAnsi="楷体" w:eastAsia="楷体" w:cs="Times New Roman"/>
          <w:sz w:val="24"/>
          <w:szCs w:val="24"/>
        </w:rPr>
        <w:t>根</w:t>
      </w:r>
      <w:r>
        <w:rPr>
          <w:rFonts w:ascii="楷体" w:hAnsi="楷体" w:eastAsia="楷体" w:cs="Times New Roman"/>
          <w:color w:val="auto"/>
          <w:sz w:val="24"/>
          <w:szCs w:val="24"/>
        </w:rPr>
        <w:t>据</w:t>
      </w:r>
      <w:r>
        <w:rPr>
          <w:rFonts w:hint="eastAsia" w:ascii="楷体" w:hAnsi="楷体" w:eastAsia="楷体" w:cs="Times New Roman"/>
          <w:color w:val="auto"/>
          <w:sz w:val="24"/>
          <w:szCs w:val="24"/>
        </w:rPr>
        <w:t>贵州熠煜鹏程资产评估事务所（有限合伙）</w:t>
      </w:r>
      <w:r>
        <w:rPr>
          <w:rFonts w:ascii="楷体" w:hAnsi="楷体" w:eastAsia="楷体" w:cs="Times New Roman"/>
          <w:color w:val="auto"/>
          <w:sz w:val="24"/>
          <w:szCs w:val="24"/>
        </w:rPr>
        <w:t>出具的评估报告，截至评估基准日，目标公司总资产为人民币</w:t>
      </w:r>
      <w:r>
        <w:rPr>
          <w:rFonts w:ascii="楷体" w:hAnsi="楷体" w:eastAsia="楷体" w:cs="Times New Roman"/>
          <w:color w:val="auto"/>
          <w:sz w:val="24"/>
          <w:szCs w:val="24"/>
          <w:highlight w:val="none"/>
        </w:rPr>
        <w:t>【</w:t>
      </w:r>
      <w:r>
        <w:rPr>
          <w:rFonts w:hint="eastAsia" w:ascii="楷体" w:hAnsi="楷体" w:eastAsia="楷体" w:cs="Times New Roman"/>
          <w:color w:val="auto"/>
          <w:sz w:val="24"/>
          <w:szCs w:val="24"/>
          <w:highlight w:val="none"/>
          <w:lang w:val="en-US" w:eastAsia="zh-CN"/>
        </w:rPr>
        <w:t>33259.05</w:t>
      </w:r>
      <w:r>
        <w:rPr>
          <w:rFonts w:ascii="楷体" w:hAnsi="楷体" w:eastAsia="楷体" w:cs="Times New Roman"/>
          <w:color w:val="auto"/>
          <w:sz w:val="24"/>
          <w:szCs w:val="24"/>
          <w:highlight w:val="none"/>
        </w:rPr>
        <w:t>】万元，总负债为人民币【</w:t>
      </w:r>
      <w:r>
        <w:rPr>
          <w:rFonts w:hint="eastAsia" w:ascii="楷体" w:hAnsi="楷体" w:eastAsia="楷体" w:cs="Times New Roman"/>
          <w:color w:val="auto"/>
          <w:sz w:val="24"/>
          <w:szCs w:val="24"/>
          <w:highlight w:val="none"/>
          <w:lang w:val="en-US" w:eastAsia="zh-CN"/>
        </w:rPr>
        <w:t>27917.20</w:t>
      </w:r>
      <w:r>
        <w:rPr>
          <w:rFonts w:ascii="楷体" w:hAnsi="楷体" w:eastAsia="楷体" w:cs="Times New Roman"/>
          <w:color w:val="auto"/>
          <w:sz w:val="24"/>
          <w:szCs w:val="24"/>
          <w:highlight w:val="none"/>
        </w:rPr>
        <w:t>】万元，净资产为人民币【</w:t>
      </w:r>
      <w:r>
        <w:rPr>
          <w:rFonts w:hint="eastAsia" w:ascii="楷体" w:hAnsi="楷体" w:eastAsia="楷体" w:cs="Times New Roman"/>
          <w:color w:val="auto"/>
          <w:sz w:val="24"/>
          <w:szCs w:val="24"/>
          <w:highlight w:val="none"/>
          <w:lang w:val="en-US" w:eastAsia="zh-CN"/>
        </w:rPr>
        <w:t>5341.85</w:t>
      </w:r>
      <w:r>
        <w:rPr>
          <w:rFonts w:ascii="楷体" w:hAnsi="楷体" w:eastAsia="楷体" w:cs="Times New Roman"/>
          <w:color w:val="auto"/>
          <w:sz w:val="24"/>
          <w:szCs w:val="24"/>
          <w:highlight w:val="none"/>
        </w:rPr>
        <w:t>】万元。</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转让标的由甲方经贵州阳光产权交易所公开挂牌出让，乙方按照产交所交易规则确定为转让标的受让人。</w:t>
      </w:r>
    </w:p>
    <w:p>
      <w:pPr>
        <w:pStyle w:val="19"/>
        <w:numPr>
          <w:ilvl w:val="0"/>
          <w:numId w:val="1"/>
        </w:numPr>
        <w:topLinePunct/>
        <w:spacing w:line="360" w:lineRule="auto"/>
        <w:ind w:firstLineChars="0"/>
        <w:rPr>
          <w:rFonts w:ascii="楷体" w:hAnsi="楷体" w:eastAsia="楷体" w:cs="Times New Roman"/>
          <w:b/>
          <w:bCs/>
          <w:sz w:val="24"/>
          <w:szCs w:val="24"/>
        </w:rPr>
      </w:pPr>
      <w:r>
        <w:rPr>
          <w:rFonts w:ascii="楷体" w:hAnsi="楷体" w:eastAsia="楷体" w:cs="Times New Roman"/>
          <w:b/>
          <w:bCs/>
          <w:sz w:val="24"/>
          <w:szCs w:val="24"/>
        </w:rPr>
        <w:t>转让价款及支付</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转让价款为【</w:t>
      </w:r>
      <w:r>
        <w:rPr>
          <w:rFonts w:hint="eastAsia" w:ascii="楷体" w:hAnsi="楷体" w:eastAsia="楷体" w:cs="Times New Roman"/>
          <w:sz w:val="24"/>
          <w:szCs w:val="24"/>
          <w:lang w:val="en-US" w:eastAsia="zh-CN"/>
        </w:rPr>
        <w:t>5341.85</w:t>
      </w:r>
      <w:r>
        <w:rPr>
          <w:rFonts w:ascii="楷体" w:hAnsi="楷体" w:eastAsia="楷体" w:cs="Times New Roman"/>
          <w:sz w:val="24"/>
          <w:szCs w:val="24"/>
        </w:rPr>
        <w:t>】万元。</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转让价款支付</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保证金</w:t>
      </w:r>
      <w:r>
        <w:rPr>
          <w:rFonts w:hint="eastAsia" w:ascii="楷体" w:hAnsi="楷体" w:eastAsia="楷体" w:cs="Times New Roman"/>
          <w:sz w:val="24"/>
          <w:szCs w:val="24"/>
        </w:rPr>
        <w:t>转为</w:t>
      </w:r>
      <w:r>
        <w:rPr>
          <w:rFonts w:ascii="楷体" w:hAnsi="楷体" w:eastAsia="楷体" w:cs="Times New Roman"/>
          <w:sz w:val="24"/>
          <w:szCs w:val="24"/>
        </w:rPr>
        <w:t>转让价款，剩余转让价款由乙方在本合同签订后五个工作日内一次性支付在交易所指定的结算账户内。</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交易所指定的结算账户为：</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 xml:space="preserve">开户名： </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 xml:space="preserve">账号：  </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 xml:space="preserve">开户行： </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7" w:name="_Toc404006130"/>
      <w:r>
        <w:rPr>
          <w:rFonts w:ascii="楷体" w:hAnsi="楷体" w:eastAsia="楷体" w:cs="Times New Roman"/>
          <w:b/>
          <w:sz w:val="24"/>
          <w:szCs w:val="24"/>
        </w:rPr>
        <w:t>工商变更及交割</w:t>
      </w:r>
    </w:p>
    <w:bookmarkEnd w:id="7"/>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bookmarkStart w:id="8" w:name="_Toc310608862"/>
      <w:r>
        <w:rPr>
          <w:rFonts w:ascii="楷体" w:hAnsi="楷体" w:eastAsia="楷体" w:cs="Times New Roman"/>
          <w:sz w:val="24"/>
          <w:szCs w:val="24"/>
        </w:rPr>
        <w:t>工商变更登记：在本款如下条件全部成就后【</w:t>
      </w:r>
      <w:r>
        <w:rPr>
          <w:rFonts w:hint="eastAsia" w:ascii="楷体" w:hAnsi="楷体" w:eastAsia="楷体" w:cs="Times New Roman"/>
          <w:sz w:val="24"/>
          <w:szCs w:val="24"/>
        </w:rPr>
        <w:t>5</w:t>
      </w:r>
      <w:r>
        <w:rPr>
          <w:rFonts w:ascii="楷体" w:hAnsi="楷体" w:eastAsia="楷体" w:cs="Times New Roman"/>
          <w:sz w:val="24"/>
          <w:szCs w:val="24"/>
        </w:rPr>
        <w:t>】个工作日内，各方相互配合办理转让标的登记至乙方名下的工商变更手续。为免存疑，各方确认，在办理转让标的工商变更登记手续的同时，应同步办理目标公司现有董事、监事、总经理、财务负责人及其他高级管理人员的变更手续，并由乙方在签署本合同后1日内向甲方提交拟变更人员的书面文件</w:t>
      </w:r>
      <w:r>
        <w:rPr>
          <w:rFonts w:hint="eastAsia" w:ascii="楷体" w:hAnsi="楷体" w:eastAsia="楷体" w:cs="Times New Roman"/>
          <w:sz w:val="24"/>
          <w:szCs w:val="24"/>
        </w:rPr>
        <w:t>，否则每逾期1日，甲方有权迟延办理转让标的工商变更手续3日</w:t>
      </w:r>
      <w:r>
        <w:rPr>
          <w:rFonts w:ascii="楷体" w:hAnsi="楷体" w:eastAsia="楷体" w:cs="Times New Roman"/>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乙方付清全部产权转让价款；</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乙方和目标公司按本合同第</w:t>
      </w:r>
      <w:r>
        <w:rPr>
          <w:rFonts w:hint="eastAsia" w:ascii="楷体" w:hAnsi="楷体" w:eastAsia="楷体" w:cs="Times New Roman"/>
          <w:sz w:val="24"/>
          <w:szCs w:val="24"/>
        </w:rPr>
        <w:t>7.4款</w:t>
      </w:r>
      <w:r>
        <w:rPr>
          <w:rFonts w:ascii="楷体" w:hAnsi="楷体" w:eastAsia="楷体" w:cs="Times New Roman"/>
          <w:sz w:val="24"/>
          <w:szCs w:val="24"/>
        </w:rPr>
        <w:t>约定办妥担保财产的抵押（质押）登记手续；</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乙方和目标公司按本合同第</w:t>
      </w:r>
      <w:r>
        <w:rPr>
          <w:rFonts w:hint="eastAsia" w:ascii="楷体" w:hAnsi="楷体" w:eastAsia="楷体" w:cs="Times New Roman"/>
          <w:sz w:val="24"/>
          <w:szCs w:val="24"/>
        </w:rPr>
        <w:t>6.2款</w:t>
      </w:r>
      <w:r>
        <w:rPr>
          <w:rFonts w:ascii="楷体" w:hAnsi="楷体" w:eastAsia="楷体" w:cs="Times New Roman"/>
          <w:sz w:val="24"/>
          <w:szCs w:val="24"/>
        </w:rPr>
        <w:t>约定向甲方付清过渡期债务</w:t>
      </w:r>
      <w:r>
        <w:rPr>
          <w:rFonts w:hint="eastAsia" w:ascii="楷体" w:hAnsi="楷体" w:eastAsia="楷体" w:cs="Times New Roman"/>
          <w:sz w:val="24"/>
          <w:szCs w:val="24"/>
        </w:rPr>
        <w:t>（若有）</w:t>
      </w:r>
      <w:r>
        <w:rPr>
          <w:rFonts w:ascii="楷体" w:hAnsi="楷体" w:eastAsia="楷体" w:cs="Times New Roman"/>
          <w:sz w:val="24"/>
          <w:szCs w:val="24"/>
        </w:rPr>
        <w:t>。</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在办理前述股权转让的工商变更登记的过程中，各方应相互配合，按工商登记机关的要求签署或提供相应的文件或资料。</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交割</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交割</w:t>
      </w:r>
      <w:r>
        <w:rPr>
          <w:rFonts w:hint="eastAsia" w:ascii="楷体" w:hAnsi="楷体" w:eastAsia="楷体" w:cs="Times New Roman"/>
          <w:sz w:val="24"/>
          <w:szCs w:val="24"/>
        </w:rPr>
        <w:t>日</w:t>
      </w:r>
      <w:r>
        <w:rPr>
          <w:rFonts w:ascii="楷体" w:hAnsi="楷体" w:eastAsia="楷体" w:cs="Times New Roman"/>
          <w:sz w:val="24"/>
          <w:szCs w:val="24"/>
        </w:rPr>
        <w:t>：</w:t>
      </w:r>
      <w:r>
        <w:rPr>
          <w:rFonts w:hint="eastAsia" w:ascii="楷体" w:hAnsi="楷体" w:eastAsia="楷体" w:cs="Times New Roman"/>
          <w:sz w:val="24"/>
          <w:szCs w:val="24"/>
        </w:rPr>
        <w:t>股权转让完成日</w:t>
      </w:r>
      <w:r>
        <w:rPr>
          <w:rFonts w:ascii="楷体" w:hAnsi="楷体" w:eastAsia="楷体" w:cs="Times New Roman"/>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交割事项：甲方安排目标公司指定人员将目标公司的印章、印鉴、证照、财务文件资料、行政文件资料、人事行政资料、保险凭证及其他相关文件原件、合同文件（包括但不限于目标公司已经签署的全部合同、合同、备忘录或其他类似文件）以及与目标地块相关的全部资料移交给乙方。</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双方应指派交接代表在交割日签署一份书面的交割文件，确认上述各项交割事项已经完成。</w:t>
      </w:r>
      <w:bookmarkEnd w:id="8"/>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bookmarkStart w:id="9" w:name="_Ref436057547"/>
      <w:bookmarkStart w:id="10" w:name="_Ref436049657"/>
      <w:r>
        <w:rPr>
          <w:rFonts w:hint="eastAsia" w:ascii="楷体" w:hAnsi="楷体" w:eastAsia="楷体" w:cs="Times New Roman"/>
          <w:sz w:val="24"/>
          <w:szCs w:val="24"/>
        </w:rPr>
        <w:t>在评估基准日至交割日期间（下称“过渡期”），与转让标的相关的盈利或亏损由乙方和目标公司享有和承担。</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除本合同另有约定外，本合同项下转让标的转让所产生的税、费按法律法规相关规定由各方各自承担。</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bCs/>
          <w:sz w:val="24"/>
          <w:szCs w:val="24"/>
        </w:rPr>
      </w:pPr>
      <w:r>
        <w:rPr>
          <w:rFonts w:ascii="楷体" w:hAnsi="楷体" w:eastAsia="楷体" w:cs="Times New Roman"/>
          <w:b/>
          <w:bCs/>
          <w:sz w:val="24"/>
          <w:szCs w:val="24"/>
        </w:rPr>
        <w:t>目标公司债务及债务加入</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目标公司债务</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目标公司原始债务：在目标公司经营过程中，甲方为目标公司提供了相应的借款，并由双方签订了附件一《借款合同》。根据《借款合同》的约定，截至2023年12月31日，借款本金余额为26880.39万元，利息为1036.81万元，且借款本金余额自2024年1月1日起按年利率8%的标准计算利息。</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过渡期债务（若有）：过渡期内，甲方为管理目标公司而支出的所有费用或负担</w:t>
      </w:r>
      <w:r>
        <w:rPr>
          <w:rFonts w:hint="eastAsia" w:ascii="楷体" w:hAnsi="楷体" w:eastAsia="楷体" w:cs="Times New Roman"/>
          <w:sz w:val="24"/>
          <w:szCs w:val="24"/>
        </w:rPr>
        <w:t>的</w:t>
      </w:r>
      <w:r>
        <w:rPr>
          <w:rFonts w:ascii="楷体" w:hAnsi="楷体" w:eastAsia="楷体" w:cs="Times New Roman"/>
          <w:sz w:val="24"/>
          <w:szCs w:val="24"/>
        </w:rPr>
        <w:t>所有义务。过渡期债务由甲方在签订本合同后【</w:t>
      </w:r>
      <w:r>
        <w:rPr>
          <w:rFonts w:hint="eastAsia" w:ascii="楷体" w:hAnsi="楷体" w:eastAsia="楷体" w:cs="Times New Roman"/>
          <w:sz w:val="24"/>
          <w:szCs w:val="24"/>
        </w:rPr>
        <w:t>3</w:t>
      </w:r>
      <w:r>
        <w:rPr>
          <w:rFonts w:ascii="楷体" w:hAnsi="楷体" w:eastAsia="楷体" w:cs="Times New Roman"/>
          <w:sz w:val="24"/>
          <w:szCs w:val="24"/>
        </w:rPr>
        <w:t>】日内向乙方提供详尽负债明细，乙方和目标公司对此不持任何异议。</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为免存疑，各方确认，目标公司债务还包括，目标公司未按时偿还/支付《借款合同》及本合同约定的目标公司原始债务和/或过渡期债务而应向甲方支付利息、罚息、违约金、赔偿金及甲方为实现该等债权而发生的费用（包括但不限于诉讼费、保全费、财产担保费、差旅费、执行费、评估费、拍卖费、公证费、公告费、审计费、律师费等）及其他一切应付款。</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乙方确认并承诺，已完全知晓、清楚并理解过渡期债务和《借款合同》的全部条款与内容以及目标公司基于《借款合同》和过渡期债务应向甲方承担的全部义务和责任。</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债务加入</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乙方不附带任何条件的确认并承诺作为连带债务人自愿加入目标公司债务，与目标公司共同、连带承担目标公司债务。</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乙方确认并承诺，即使《借款合同》发生变更、修改，包括但不限于变更借款的借款期限及利率等内容，亦不免除或减轻乙方作为债务加入人在本合同下的全部义务。特别地，若甲方将其在《借款合同》项下的权利义务转让给第三方时，无须征得乙方的事先同意，且乙方同意继续按照本合同的约定作为债务加入人与目标公司共同、连带地向受让方承担连带责任。</w:t>
      </w:r>
    </w:p>
    <w:bookmarkEnd w:id="9"/>
    <w:bookmarkEnd w:id="10"/>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r>
        <w:rPr>
          <w:rFonts w:ascii="楷体" w:hAnsi="楷体" w:eastAsia="楷体" w:cs="Times New Roman"/>
          <w:b/>
          <w:sz w:val="24"/>
          <w:szCs w:val="24"/>
        </w:rPr>
        <w:t>目标公司债务</w:t>
      </w:r>
      <w:r>
        <w:rPr>
          <w:rFonts w:hint="eastAsia" w:ascii="楷体" w:hAnsi="楷体" w:eastAsia="楷体" w:cs="Times New Roman"/>
          <w:b/>
          <w:sz w:val="24"/>
          <w:szCs w:val="24"/>
        </w:rPr>
        <w:t>偿还安排</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目标公司原始债务清偿</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各方同意，由乙方和目标公司分三期偿还目标公司原始债务，即：</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2024年10月31日前清偿第一期目标公司原始债务5000万元（含2023年12月31日前已产生的利息1037万元）；</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2025年1</w:t>
      </w:r>
      <w:r>
        <w:rPr>
          <w:rFonts w:hint="eastAsia" w:ascii="楷体" w:hAnsi="楷体" w:eastAsia="楷体" w:cs="Times New Roman"/>
          <w:sz w:val="24"/>
          <w:szCs w:val="24"/>
        </w:rPr>
        <w:t>1</w:t>
      </w:r>
      <w:r>
        <w:rPr>
          <w:rFonts w:ascii="楷体" w:hAnsi="楷体" w:eastAsia="楷体" w:cs="Times New Roman"/>
          <w:sz w:val="24"/>
          <w:szCs w:val="24"/>
        </w:rPr>
        <w:t>月30日前清偿第二期目标公司原始债务10000万元；</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2026年1</w:t>
      </w:r>
      <w:r>
        <w:rPr>
          <w:rFonts w:hint="eastAsia" w:ascii="楷体" w:hAnsi="楷体" w:eastAsia="楷体" w:cs="Times New Roman"/>
          <w:sz w:val="24"/>
          <w:szCs w:val="24"/>
        </w:rPr>
        <w:t>1</w:t>
      </w:r>
      <w:r>
        <w:rPr>
          <w:rFonts w:ascii="楷体" w:hAnsi="楷体" w:eastAsia="楷体" w:cs="Times New Roman"/>
          <w:sz w:val="24"/>
          <w:szCs w:val="24"/>
        </w:rPr>
        <w:t>月30</w:t>
      </w:r>
      <w:r>
        <w:rPr>
          <w:rFonts w:hint="eastAsia" w:ascii="楷体" w:hAnsi="楷体" w:eastAsia="楷体" w:cs="Times New Roman"/>
          <w:sz w:val="24"/>
          <w:szCs w:val="24"/>
        </w:rPr>
        <w:t>日</w:t>
      </w:r>
      <w:r>
        <w:rPr>
          <w:rFonts w:ascii="楷体" w:hAnsi="楷体" w:eastAsia="楷体" w:cs="Times New Roman"/>
          <w:sz w:val="24"/>
          <w:szCs w:val="24"/>
        </w:rPr>
        <w:t>前付清第三期目标公司原始债务，即剩余全部借款本息。</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各方同意，尽管有上述还款</w:t>
      </w:r>
      <w:r>
        <w:rPr>
          <w:rFonts w:hint="eastAsia" w:ascii="楷体" w:hAnsi="楷体" w:eastAsia="楷体" w:cs="Times New Roman"/>
          <w:sz w:val="24"/>
          <w:szCs w:val="24"/>
        </w:rPr>
        <w:t>安排</w:t>
      </w:r>
      <w:r>
        <w:rPr>
          <w:rFonts w:ascii="楷体" w:hAnsi="楷体" w:eastAsia="楷体" w:cs="Times New Roman"/>
          <w:sz w:val="24"/>
          <w:szCs w:val="24"/>
        </w:rPr>
        <w:t>，从目标公司对目标项目首次销售之日起，每次销售建筑面积达到2万㎡（以商品房买卖合同约定建筑面积为准，下同）后10个工作日内，乙方和/或目标公司应向甲方清偿不低于5000万元的目标公司原始债务，当累计销售建筑面积达12万㎡后10个工作日内，乙方和目标公司应清偿全部目标公司原始债务。各方确认，若出现目标公司用目标</w:t>
      </w:r>
      <w:r>
        <w:rPr>
          <w:rFonts w:hint="eastAsia" w:ascii="楷体" w:hAnsi="楷体" w:eastAsia="楷体" w:cs="Times New Roman"/>
          <w:sz w:val="24"/>
          <w:szCs w:val="24"/>
        </w:rPr>
        <w:t>项目</w:t>
      </w:r>
      <w:r>
        <w:rPr>
          <w:rFonts w:ascii="楷体" w:hAnsi="楷体" w:eastAsia="楷体" w:cs="Times New Roman"/>
          <w:sz w:val="24"/>
          <w:szCs w:val="24"/>
        </w:rPr>
        <w:t>的资产冲抵第三方债务（包含为乙方或目标公司指定债务人冲抵债务），即使因</w:t>
      </w:r>
      <w:r>
        <w:rPr>
          <w:rFonts w:hint="eastAsia" w:ascii="楷体" w:hAnsi="楷体" w:eastAsia="楷体" w:cs="Times New Roman"/>
          <w:sz w:val="24"/>
          <w:szCs w:val="24"/>
        </w:rPr>
        <w:t>该等</w:t>
      </w:r>
      <w:r>
        <w:rPr>
          <w:rFonts w:ascii="楷体" w:hAnsi="楷体" w:eastAsia="楷体" w:cs="Times New Roman"/>
          <w:sz w:val="24"/>
          <w:szCs w:val="24"/>
        </w:rPr>
        <w:t>债务冲抵未签署商品房买卖合同，则冲抵部分的资产也视同销售，该部分资产的建筑面积也应计入销售面积作为债务清偿的认定标准。</w:t>
      </w:r>
    </w:p>
    <w:p>
      <w:pPr>
        <w:tabs>
          <w:tab w:val="left" w:pos="1652"/>
        </w:tabs>
        <w:adjustRightInd w:val="0"/>
        <w:snapToGrid w:val="0"/>
        <w:spacing w:before="156" w:beforeLines="50" w:after="156" w:afterLines="50" w:line="400" w:lineRule="exact"/>
        <w:ind w:left="1652"/>
        <w:rPr>
          <w:rFonts w:ascii="楷体" w:hAnsi="楷体" w:eastAsia="楷体" w:cs="Times New Roman"/>
          <w:sz w:val="24"/>
          <w:szCs w:val="24"/>
        </w:rPr>
      </w:pPr>
      <w:r>
        <w:rPr>
          <w:rFonts w:ascii="楷体" w:hAnsi="楷体" w:eastAsia="楷体" w:cs="Times New Roman"/>
          <w:sz w:val="24"/>
          <w:szCs w:val="24"/>
        </w:rPr>
        <w:t>为免存疑，各方确认，除第三期目标公司原始债务外，若在</w:t>
      </w:r>
      <w:r>
        <w:rPr>
          <w:rFonts w:hint="eastAsia" w:ascii="楷体" w:hAnsi="楷体" w:eastAsia="楷体" w:cs="Times New Roman"/>
          <w:sz w:val="24"/>
          <w:szCs w:val="24"/>
        </w:rPr>
        <w:t>第6.1.1项约定的</w:t>
      </w:r>
      <w:r>
        <w:rPr>
          <w:rFonts w:ascii="楷体" w:hAnsi="楷体" w:eastAsia="楷体" w:cs="Times New Roman"/>
          <w:sz w:val="24"/>
          <w:szCs w:val="24"/>
        </w:rPr>
        <w:t>每一期的目标公司原始债务清偿时间届满时</w:t>
      </w:r>
      <w:r>
        <w:rPr>
          <w:rFonts w:hint="eastAsia" w:ascii="楷体" w:hAnsi="楷体" w:eastAsia="楷体" w:cs="Times New Roman"/>
          <w:sz w:val="24"/>
          <w:szCs w:val="24"/>
        </w:rPr>
        <w:t>：（1）</w:t>
      </w:r>
      <w:r>
        <w:rPr>
          <w:rFonts w:ascii="楷体" w:hAnsi="楷体" w:eastAsia="楷体" w:cs="Times New Roman"/>
          <w:sz w:val="24"/>
          <w:szCs w:val="24"/>
        </w:rPr>
        <w:t>乙方和目标公司按本项约定清偿的目标公司原始债务已超过第6.1.1项约定的当期需清偿的目标公司原始债务的，则乙方和目标公司不再按第6.1.1项约定的清偿</w:t>
      </w:r>
      <w:r>
        <w:rPr>
          <w:rFonts w:hint="eastAsia" w:ascii="楷体" w:hAnsi="楷体" w:eastAsia="楷体" w:cs="Times New Roman"/>
          <w:sz w:val="24"/>
          <w:szCs w:val="24"/>
        </w:rPr>
        <w:t>当期</w:t>
      </w:r>
      <w:r>
        <w:rPr>
          <w:rFonts w:ascii="楷体" w:hAnsi="楷体" w:eastAsia="楷体" w:cs="Times New Roman"/>
          <w:sz w:val="24"/>
          <w:szCs w:val="24"/>
        </w:rPr>
        <w:t>目标公司原始债务</w:t>
      </w:r>
      <w:r>
        <w:rPr>
          <w:rFonts w:hint="eastAsia" w:ascii="楷体" w:hAnsi="楷体" w:eastAsia="楷体" w:cs="Times New Roman"/>
          <w:sz w:val="24"/>
          <w:szCs w:val="24"/>
        </w:rPr>
        <w:t>；（2）乙方和目标公司按本项约定清偿目标公司原始债务款项未达到</w:t>
      </w:r>
      <w:r>
        <w:rPr>
          <w:rFonts w:ascii="楷体" w:hAnsi="楷体" w:eastAsia="楷体" w:cs="Times New Roman"/>
          <w:sz w:val="24"/>
          <w:szCs w:val="24"/>
        </w:rPr>
        <w:t>第6.1.1项约定的当期需清偿的目标公司原始债务的</w:t>
      </w:r>
      <w:r>
        <w:rPr>
          <w:rFonts w:hint="eastAsia" w:ascii="楷体" w:hAnsi="楷体" w:eastAsia="楷体" w:cs="Times New Roman"/>
          <w:sz w:val="24"/>
          <w:szCs w:val="24"/>
        </w:rPr>
        <w:t>，则在第</w:t>
      </w:r>
      <w:r>
        <w:rPr>
          <w:rFonts w:ascii="楷体" w:hAnsi="楷体" w:eastAsia="楷体" w:cs="Times New Roman"/>
          <w:sz w:val="24"/>
          <w:szCs w:val="24"/>
        </w:rPr>
        <w:t>6.1.1项</w:t>
      </w:r>
      <w:r>
        <w:rPr>
          <w:rFonts w:hint="eastAsia" w:ascii="楷体" w:hAnsi="楷体" w:eastAsia="楷体" w:cs="Times New Roman"/>
          <w:sz w:val="24"/>
          <w:szCs w:val="24"/>
        </w:rPr>
        <w:t>约定的当期付款时间届满时，乙方和目标公司应将差额部分支付给甲方</w:t>
      </w:r>
      <w:r>
        <w:rPr>
          <w:rFonts w:ascii="楷体" w:hAnsi="楷体" w:eastAsia="楷体" w:cs="Times New Roman"/>
          <w:sz w:val="24"/>
          <w:szCs w:val="24"/>
        </w:rPr>
        <w:t>。</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过渡期债务清偿</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ascii="楷体" w:hAnsi="楷体" w:eastAsia="楷体" w:cs="Times New Roman"/>
          <w:sz w:val="24"/>
          <w:szCs w:val="24"/>
        </w:rPr>
        <w:t>各方同意，由乙方或/和目标公司在本合同签署且甲方向乙方提供过渡期债务明细的当日内（若提供时间晚于当日17:00，则至迟在第二日内）清偿过渡期债务。</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清偿顺序</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各方确认，乙方和目标公司向甲方偿还或支付款项按下列顺序清偿：</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支付甲方为实现债权发生的费用；</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支付乙方和目标公司应承担的违约金、赔偿金；</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支付乙方和目标公司应承担</w:t>
      </w:r>
      <w:r>
        <w:rPr>
          <w:rFonts w:hint="eastAsia" w:ascii="楷体" w:hAnsi="楷体" w:eastAsia="楷体" w:cs="Times New Roman"/>
          <w:sz w:val="24"/>
          <w:szCs w:val="24"/>
        </w:rPr>
        <w:t>的</w:t>
      </w:r>
      <w:r>
        <w:rPr>
          <w:rFonts w:ascii="楷体" w:hAnsi="楷体" w:eastAsia="楷体" w:cs="Times New Roman"/>
          <w:sz w:val="24"/>
          <w:szCs w:val="24"/>
        </w:rPr>
        <w:t>利息、罚息；</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支付主债务本金。</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ascii="楷体" w:hAnsi="楷体" w:eastAsia="楷体" w:cs="Times New Roman"/>
          <w:sz w:val="24"/>
          <w:szCs w:val="24"/>
        </w:rPr>
        <w:t>乙方和目标公司偿还的款项不足以清偿同一顺序全部款项的，按有关款项发生的先后顺序清偿，若对款项发生</w:t>
      </w:r>
      <w:r>
        <w:rPr>
          <w:rFonts w:hint="eastAsia" w:ascii="楷体" w:hAnsi="楷体" w:eastAsia="楷体" w:cs="Times New Roman"/>
          <w:sz w:val="24"/>
          <w:szCs w:val="24"/>
        </w:rPr>
        <w:t>时间</w:t>
      </w:r>
      <w:r>
        <w:rPr>
          <w:rFonts w:ascii="楷体" w:hAnsi="楷体" w:eastAsia="楷体" w:cs="Times New Roman"/>
          <w:sz w:val="24"/>
          <w:szCs w:val="24"/>
        </w:rPr>
        <w:t>产生争议的，则由甲方决定款项发生的时间和清偿顺序。同时，甲方有权变更</w:t>
      </w:r>
      <w:r>
        <w:rPr>
          <w:rFonts w:hint="eastAsia" w:ascii="楷体" w:hAnsi="楷体" w:eastAsia="楷体" w:cs="Times New Roman"/>
          <w:sz w:val="24"/>
          <w:szCs w:val="24"/>
        </w:rPr>
        <w:t>第6.3款的</w:t>
      </w:r>
      <w:r>
        <w:rPr>
          <w:rFonts w:ascii="楷体" w:hAnsi="楷体" w:eastAsia="楷体" w:cs="Times New Roman"/>
          <w:sz w:val="24"/>
          <w:szCs w:val="24"/>
        </w:rPr>
        <w:t>清偿顺序。</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因乙方或/和目标公司出现违约情形，甲方要求对目标公司债务清偿加速到期的，适用第10.4款的约定。乙方和目标公司应在本合同项下加速到期日前一</w:t>
      </w:r>
      <w:r>
        <w:rPr>
          <w:rFonts w:ascii="楷体" w:hAnsi="楷体" w:eastAsia="楷体" w:cs="Times New Roman"/>
          <w:sz w:val="24"/>
          <w:szCs w:val="24"/>
        </w:rPr>
        <w:t>(1)个工作日(如</w:t>
      </w:r>
      <w:r>
        <w:rPr>
          <w:rFonts w:hint="eastAsia" w:ascii="楷体" w:hAnsi="楷体" w:eastAsia="楷体" w:cs="Times New Roman"/>
          <w:sz w:val="24"/>
          <w:szCs w:val="24"/>
        </w:rPr>
        <w:t>为非工作日的，则应为该日之前最近的一个工作日</w:t>
      </w:r>
      <w:r>
        <w:rPr>
          <w:rFonts w:ascii="楷体" w:hAnsi="楷体" w:eastAsia="楷体" w:cs="Times New Roman"/>
          <w:sz w:val="24"/>
          <w:szCs w:val="24"/>
        </w:rPr>
        <w:t>)下午17:00前将</w:t>
      </w:r>
      <w:r>
        <w:rPr>
          <w:rFonts w:hint="eastAsia" w:ascii="楷体" w:hAnsi="楷体" w:eastAsia="楷体" w:cs="Times New Roman"/>
          <w:sz w:val="24"/>
          <w:szCs w:val="24"/>
        </w:rPr>
        <w:t>目标公司债务及其他应付款项支付至甲方账户。</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债务清偿管理</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为确保第6.1.2项的实现，各方同意，由甲方按本款约定对目标项目的销售情况和销售回款账户进行监控。</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销售监管</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hint="eastAsia" w:ascii="楷体" w:hAnsi="楷体" w:eastAsia="楷体" w:cs="Times New Roman"/>
          <w:sz w:val="24"/>
          <w:szCs w:val="24"/>
        </w:rPr>
        <w:t>在目标公司取得目标地块首张销售许可证之日起，目标公司应每月以销售台账的形式向甲方报送销售数据</w:t>
      </w:r>
      <w:r>
        <w:rPr>
          <w:rFonts w:ascii="楷体" w:hAnsi="楷体" w:eastAsia="楷体" w:cs="Times New Roman"/>
          <w:sz w:val="24"/>
          <w:szCs w:val="24"/>
        </w:rPr>
        <w:t>。</w:t>
      </w:r>
      <w:r>
        <w:rPr>
          <w:rFonts w:hint="eastAsia" w:ascii="楷体" w:hAnsi="楷体" w:eastAsia="楷体" w:cs="Times New Roman"/>
          <w:sz w:val="24"/>
          <w:szCs w:val="24"/>
        </w:rPr>
        <w:t>根据目标项目现场销售情况，甲方有权要求调整目标公司报送销售数据的频率等要求。</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乙方</w:t>
      </w:r>
      <w:r>
        <w:rPr>
          <w:rFonts w:hint="eastAsia" w:ascii="楷体" w:hAnsi="楷体" w:eastAsia="楷体" w:cs="Times New Roman"/>
          <w:sz w:val="24"/>
          <w:szCs w:val="24"/>
        </w:rPr>
        <w:t>和目标公司</w:t>
      </w:r>
      <w:r>
        <w:rPr>
          <w:rFonts w:ascii="楷体" w:hAnsi="楷体" w:eastAsia="楷体" w:cs="Times New Roman"/>
          <w:sz w:val="24"/>
          <w:szCs w:val="24"/>
        </w:rPr>
        <w:t>应当配合甲方及其指定人员行使如下目标项目销售监管职权:</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有权登录</w:t>
      </w:r>
      <w:r>
        <w:rPr>
          <w:rFonts w:hint="eastAsia" w:ascii="楷体" w:hAnsi="楷体" w:eastAsia="楷体" w:cs="Times New Roman"/>
          <w:sz w:val="24"/>
          <w:szCs w:val="24"/>
        </w:rPr>
        <w:t>目标项目</w:t>
      </w:r>
      <w:r>
        <w:rPr>
          <w:rFonts w:ascii="楷体" w:hAnsi="楷体" w:eastAsia="楷体" w:cs="Times New Roman"/>
          <w:sz w:val="24"/>
          <w:szCs w:val="24"/>
        </w:rPr>
        <w:t>所在地商品房销售合同网上备案管理系统(以</w:t>
      </w:r>
      <w:r>
        <w:rPr>
          <w:rFonts w:hint="eastAsia" w:ascii="楷体" w:hAnsi="楷体" w:eastAsia="楷体" w:cs="Times New Roman"/>
          <w:sz w:val="24"/>
          <w:szCs w:val="24"/>
        </w:rPr>
        <w:t>下简称“网签系统”</w:t>
      </w:r>
      <w:r>
        <w:rPr>
          <w:rFonts w:ascii="楷体" w:hAnsi="楷体" w:eastAsia="楷体" w:cs="Times New Roman"/>
          <w:sz w:val="24"/>
          <w:szCs w:val="24"/>
        </w:rPr>
        <w:t>)查询目标项目销售备案情况;</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有权登录目标公司税控发票系统,查询与目标项目销售相关之发</w:t>
      </w:r>
      <w:r>
        <w:rPr>
          <w:rFonts w:hint="eastAsia" w:ascii="楷体" w:hAnsi="楷体" w:eastAsia="楷体" w:cs="Times New Roman"/>
          <w:sz w:val="24"/>
          <w:szCs w:val="24"/>
        </w:rPr>
        <w:t>票开具信息</w:t>
      </w:r>
      <w:r>
        <w:rPr>
          <w:rFonts w:ascii="楷体" w:hAnsi="楷体" w:eastAsia="楷体" w:cs="Times New Roman"/>
          <w:sz w:val="24"/>
          <w:szCs w:val="24"/>
        </w:rPr>
        <w:t>;</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随时到达目标项目销售现场监督核实销售回款情况及销售回款</w:t>
      </w:r>
      <w:r>
        <w:rPr>
          <w:rFonts w:hint="eastAsia" w:ascii="楷体" w:hAnsi="楷体" w:eastAsia="楷体" w:cs="Times New Roman"/>
          <w:sz w:val="24"/>
          <w:szCs w:val="24"/>
        </w:rPr>
        <w:t>账户，包括但不限于通过现场试刷</w:t>
      </w:r>
      <w:r>
        <w:rPr>
          <w:rFonts w:ascii="楷体" w:hAnsi="楷体" w:eastAsia="楷体" w:cs="Times New Roman"/>
          <w:sz w:val="24"/>
          <w:szCs w:val="24"/>
        </w:rPr>
        <w:t>POS机方式核实销售回款账</w:t>
      </w:r>
      <w:r>
        <w:rPr>
          <w:rFonts w:hint="eastAsia" w:ascii="楷体" w:hAnsi="楷体" w:eastAsia="楷体" w:cs="Times New Roman"/>
          <w:sz w:val="24"/>
          <w:szCs w:val="24"/>
        </w:rPr>
        <w:t>户，并有权要求目标公司提供</w:t>
      </w:r>
      <w:r>
        <w:rPr>
          <w:rFonts w:ascii="楷体" w:hAnsi="楷体" w:eastAsia="楷体" w:cs="Times New Roman"/>
          <w:sz w:val="24"/>
          <w:szCs w:val="24"/>
        </w:rPr>
        <w:t>POS机交易流水清单网上查询;</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有权登录并查看目标公司销售系统(如明源系统、易居系统等);</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查询</w:t>
      </w:r>
      <w:r>
        <w:rPr>
          <w:rFonts w:hint="eastAsia" w:ascii="楷体" w:hAnsi="楷体" w:eastAsia="楷体" w:cs="Times New Roman"/>
          <w:sz w:val="24"/>
          <w:szCs w:val="24"/>
        </w:rPr>
        <w:t>目标项目</w:t>
      </w:r>
      <w:r>
        <w:rPr>
          <w:rFonts w:ascii="楷体" w:hAnsi="楷体" w:eastAsia="楷体" w:cs="Times New Roman"/>
          <w:sz w:val="24"/>
          <w:szCs w:val="24"/>
        </w:rPr>
        <w:t>销售相关财务凭证，包括但不限于收据、发票、POS</w:t>
      </w:r>
      <w:r>
        <w:rPr>
          <w:rFonts w:hint="eastAsia" w:ascii="楷体" w:hAnsi="楷体" w:eastAsia="楷体" w:cs="Times New Roman"/>
          <w:sz w:val="24"/>
          <w:szCs w:val="24"/>
        </w:rPr>
        <w:t>刷卡回单等</w:t>
      </w:r>
      <w:r>
        <w:rPr>
          <w:rFonts w:ascii="楷体" w:hAnsi="楷体" w:eastAsia="楷体" w:cs="Times New Roman"/>
          <w:sz w:val="24"/>
          <w:szCs w:val="24"/>
        </w:rPr>
        <w:t>;</w:t>
      </w:r>
    </w:p>
    <w:p>
      <w:pPr>
        <w:pStyle w:val="19"/>
        <w:numPr>
          <w:ilvl w:val="0"/>
          <w:numId w:val="2"/>
        </w:numPr>
        <w:tabs>
          <w:tab w:val="left" w:pos="1652"/>
        </w:tabs>
        <w:adjustRightInd w:val="0"/>
        <w:snapToGrid w:val="0"/>
        <w:spacing w:before="156" w:beforeLines="50" w:after="156" w:afterLines="50" w:line="400" w:lineRule="exact"/>
        <w:ind w:firstLineChars="0"/>
        <w:rPr>
          <w:rFonts w:ascii="楷体" w:hAnsi="楷体" w:eastAsia="楷体" w:cs="Times New Roman"/>
          <w:sz w:val="24"/>
          <w:szCs w:val="24"/>
        </w:rPr>
      </w:pPr>
      <w:r>
        <w:rPr>
          <w:rFonts w:ascii="楷体" w:hAnsi="楷体" w:eastAsia="楷体" w:cs="Times New Roman"/>
          <w:sz w:val="24"/>
          <w:szCs w:val="24"/>
        </w:rPr>
        <w:t>查看商品房预售/销售合同、认购及认筹合同等销售相关原件文</w:t>
      </w:r>
      <w:r>
        <w:rPr>
          <w:rFonts w:hint="eastAsia" w:ascii="楷体" w:hAnsi="楷体" w:eastAsia="楷体" w:cs="Times New Roman"/>
          <w:sz w:val="24"/>
          <w:szCs w:val="24"/>
        </w:rPr>
        <w:t>本的权限。</w:t>
      </w:r>
    </w:p>
    <w:p>
      <w:pPr>
        <w:tabs>
          <w:tab w:val="left" w:pos="1652"/>
        </w:tabs>
        <w:adjustRightInd w:val="0"/>
        <w:snapToGrid w:val="0"/>
        <w:spacing w:before="156" w:beforeLines="50" w:after="156" w:afterLines="50" w:line="400" w:lineRule="exact"/>
        <w:ind w:left="2552"/>
        <w:rPr>
          <w:rFonts w:ascii="楷体" w:hAnsi="楷体" w:eastAsia="楷体" w:cs="Times New Roman"/>
          <w:sz w:val="24"/>
          <w:szCs w:val="24"/>
        </w:rPr>
      </w:pPr>
      <w:r>
        <w:rPr>
          <w:rFonts w:hint="eastAsia" w:ascii="楷体" w:hAnsi="楷体" w:eastAsia="楷体" w:cs="Times New Roman"/>
          <w:sz w:val="24"/>
          <w:szCs w:val="24"/>
        </w:rPr>
        <w:t>甲方有权以现场核对的方式核实上述情况，目标公司应在甲方提出检查要求的合理时间内及时提供资料及授权文件</w:t>
      </w:r>
      <w:r>
        <w:rPr>
          <w:rFonts w:ascii="楷体" w:hAnsi="楷体" w:eastAsia="楷体" w:cs="Times New Roman"/>
          <w:sz w:val="24"/>
          <w:szCs w:val="24"/>
        </w:rPr>
        <w:t>;乙方应保证该等</w:t>
      </w:r>
      <w:r>
        <w:rPr>
          <w:rFonts w:hint="eastAsia" w:ascii="楷体" w:hAnsi="楷体" w:eastAsia="楷体" w:cs="Times New Roman"/>
          <w:sz w:val="24"/>
          <w:szCs w:val="24"/>
        </w:rPr>
        <w:t>资料真实和准确，不会存在任何重大错误或遗漏。</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ascii="楷体" w:hAnsi="楷体" w:eastAsia="楷体" w:cs="Times New Roman"/>
          <w:sz w:val="24"/>
          <w:szCs w:val="24"/>
        </w:rPr>
        <w:t>如果出现销售台账记载的签约情况和网签数量不一致，回款记录</w:t>
      </w:r>
      <w:r>
        <w:rPr>
          <w:rFonts w:hint="eastAsia" w:ascii="楷体" w:hAnsi="楷体" w:eastAsia="楷体" w:cs="Times New Roman"/>
          <w:sz w:val="24"/>
          <w:szCs w:val="24"/>
        </w:rPr>
        <w:t>与银行流水不一致等情况，甲方有权要求目标公司出具书面说明并提出相应的处理措施。不能就此提供甲方认可的说明及相关书面材料的，或确实出现房源违约销售或资金转移情况的，视为乙方和目标公司违反了本合同的约定，应按本合同约定承担责任。</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销售回款监管</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sz w:val="24"/>
          <w:szCs w:val="24"/>
        </w:rPr>
      </w:pPr>
      <w:r>
        <w:rPr>
          <w:rFonts w:hint="eastAsia" w:ascii="楷体" w:hAnsi="楷体" w:eastAsia="楷体" w:cs="Times New Roman"/>
          <w:sz w:val="24"/>
          <w:szCs w:val="24"/>
        </w:rPr>
        <w:t>甲方有权对目标项目的销售款项实行监管，目标项目的预售</w:t>
      </w:r>
      <w:r>
        <w:rPr>
          <w:rFonts w:ascii="楷体" w:hAnsi="楷体" w:eastAsia="楷体" w:cs="Times New Roman"/>
          <w:sz w:val="24"/>
          <w:szCs w:val="24"/>
        </w:rPr>
        <w:t>/销售款</w:t>
      </w:r>
      <w:r>
        <w:rPr>
          <w:rFonts w:hint="eastAsia" w:ascii="楷体" w:hAnsi="楷体" w:eastAsia="楷体" w:cs="Times New Roman"/>
          <w:sz w:val="24"/>
          <w:szCs w:val="24"/>
        </w:rPr>
        <w:t>项应全额支付至销售回款账户，并优先向甲方偿还目标公司债务。各方同意，未经甲方书面同意，乙方或目标公司不得自销售回款账户提取或对外支付任何资金。同时，除本合同另有约定外，若目标公司拟自销售回款中提取资金</w:t>
      </w:r>
      <w:r>
        <w:rPr>
          <w:rFonts w:ascii="楷体" w:hAnsi="楷体" w:eastAsia="楷体" w:cs="Times New Roman"/>
          <w:sz w:val="24"/>
          <w:szCs w:val="24"/>
        </w:rPr>
        <w:t>(含支付或划分其他第三方)或支付工程款</w:t>
      </w:r>
      <w:r>
        <w:rPr>
          <w:rFonts w:hint="eastAsia" w:ascii="楷体" w:hAnsi="楷体" w:eastAsia="楷体" w:cs="Times New Roman"/>
          <w:sz w:val="24"/>
          <w:szCs w:val="24"/>
        </w:rPr>
        <w:t>的，</w:t>
      </w:r>
      <w:r>
        <w:rPr>
          <w:rFonts w:ascii="楷体" w:hAnsi="楷体" w:eastAsia="楷体" w:cs="Times New Roman"/>
          <w:sz w:val="24"/>
          <w:szCs w:val="24"/>
        </w:rPr>
        <w:t>则</w:t>
      </w:r>
      <w:r>
        <w:rPr>
          <w:rFonts w:hint="eastAsia" w:ascii="楷体" w:hAnsi="楷体" w:eastAsia="楷体" w:cs="Times New Roman"/>
          <w:sz w:val="24"/>
          <w:szCs w:val="24"/>
        </w:rPr>
        <w:t>目标公司</w:t>
      </w:r>
      <w:r>
        <w:rPr>
          <w:rFonts w:ascii="楷体" w:hAnsi="楷体" w:eastAsia="楷体" w:cs="Times New Roman"/>
          <w:sz w:val="24"/>
          <w:szCs w:val="24"/>
        </w:rPr>
        <w:t>应确保已优先向甲方偿还与</w:t>
      </w:r>
      <w:r>
        <w:rPr>
          <w:rFonts w:hint="eastAsia" w:ascii="楷体" w:hAnsi="楷体" w:eastAsia="楷体" w:cs="Times New Roman"/>
          <w:sz w:val="24"/>
          <w:szCs w:val="24"/>
        </w:rPr>
        <w:t>目标公司</w:t>
      </w:r>
      <w:r>
        <w:rPr>
          <w:rFonts w:ascii="楷体" w:hAnsi="楷体" w:eastAsia="楷体" w:cs="Times New Roman"/>
          <w:sz w:val="24"/>
          <w:szCs w:val="24"/>
        </w:rPr>
        <w:t>拟提取资金(含支</w:t>
      </w:r>
      <w:r>
        <w:rPr>
          <w:rFonts w:hint="eastAsia" w:ascii="楷体" w:hAnsi="楷体" w:eastAsia="楷体" w:cs="Times New Roman"/>
          <w:sz w:val="24"/>
          <w:szCs w:val="24"/>
        </w:rPr>
        <w:t>付或划分其他第三方</w:t>
      </w:r>
      <w:r>
        <w:rPr>
          <w:rFonts w:ascii="楷体" w:hAnsi="楷体" w:eastAsia="楷体" w:cs="Times New Roman"/>
          <w:sz w:val="24"/>
          <w:szCs w:val="24"/>
        </w:rPr>
        <w:t>)或支付工程款等额的</w:t>
      </w:r>
      <w:r>
        <w:rPr>
          <w:rFonts w:hint="eastAsia" w:ascii="楷体" w:hAnsi="楷体" w:eastAsia="楷体" w:cs="Times New Roman"/>
          <w:sz w:val="24"/>
          <w:szCs w:val="24"/>
        </w:rPr>
        <w:t>目标公司债务</w:t>
      </w:r>
      <w:r>
        <w:rPr>
          <w:rFonts w:ascii="楷体" w:hAnsi="楷体" w:eastAsia="楷体" w:cs="Times New Roman"/>
          <w:sz w:val="24"/>
          <w:szCs w:val="24"/>
        </w:rPr>
        <w:t>，且累计偿还</w:t>
      </w:r>
      <w:r>
        <w:rPr>
          <w:rFonts w:hint="eastAsia" w:ascii="楷体" w:hAnsi="楷体" w:eastAsia="楷体" w:cs="Times New Roman"/>
          <w:sz w:val="24"/>
          <w:szCs w:val="24"/>
        </w:rPr>
        <w:t>的目标公司债务应大于或等于目标公司自销售回款中累计已经提取的资金金额。</w:t>
      </w:r>
    </w:p>
    <w:p>
      <w:pPr>
        <w:tabs>
          <w:tab w:val="left" w:pos="1652"/>
        </w:tabs>
        <w:adjustRightInd w:val="0"/>
        <w:snapToGrid w:val="0"/>
        <w:spacing w:before="156" w:beforeLines="50" w:after="156" w:afterLines="50" w:line="400" w:lineRule="exact"/>
        <w:ind w:left="2552"/>
        <w:rPr>
          <w:rFonts w:ascii="楷体" w:hAnsi="楷体" w:eastAsia="楷体" w:cs="Times New Roman"/>
          <w:sz w:val="24"/>
          <w:szCs w:val="24"/>
        </w:rPr>
      </w:pPr>
      <w:r>
        <w:rPr>
          <w:rFonts w:hint="eastAsia" w:ascii="楷体" w:hAnsi="楷体" w:eastAsia="楷体" w:cs="Times New Roman"/>
          <w:sz w:val="24"/>
          <w:szCs w:val="24"/>
        </w:rPr>
        <w:t>销售回款账户包括</w:t>
      </w:r>
      <w:r>
        <w:rPr>
          <w:rFonts w:ascii="楷体" w:hAnsi="楷体" w:eastAsia="楷体" w:cs="Times New Roman"/>
          <w:sz w:val="24"/>
          <w:szCs w:val="24"/>
        </w:rPr>
        <w:t>商品房预售/销售定金合同中约定</w:t>
      </w:r>
      <w:r>
        <w:rPr>
          <w:rFonts w:hint="eastAsia" w:ascii="楷体" w:hAnsi="楷体" w:eastAsia="楷体" w:cs="Times New Roman"/>
          <w:sz w:val="24"/>
          <w:szCs w:val="24"/>
        </w:rPr>
        <w:t>的收款账户、用于网签备案的商品房预售</w:t>
      </w:r>
      <w:r>
        <w:rPr>
          <w:rFonts w:ascii="楷体" w:hAnsi="楷体" w:eastAsia="楷体" w:cs="Times New Roman"/>
          <w:sz w:val="24"/>
          <w:szCs w:val="24"/>
        </w:rPr>
        <w:t>/销售合同中约定</w:t>
      </w:r>
      <w:r>
        <w:rPr>
          <w:rFonts w:hint="eastAsia" w:ascii="楷体" w:hAnsi="楷体" w:eastAsia="楷体" w:cs="Times New Roman"/>
          <w:sz w:val="24"/>
          <w:szCs w:val="24"/>
        </w:rPr>
        <w:t>的收款账户、</w:t>
      </w:r>
      <w:r>
        <w:rPr>
          <w:rFonts w:ascii="楷体" w:hAnsi="楷体" w:eastAsia="楷体" w:cs="Times New Roman"/>
          <w:sz w:val="24"/>
          <w:szCs w:val="24"/>
        </w:rPr>
        <w:t>目标项目销售现场用于刷卡的POS机对应的</w:t>
      </w:r>
      <w:r>
        <w:rPr>
          <w:rFonts w:hint="eastAsia" w:ascii="楷体" w:hAnsi="楷体" w:eastAsia="楷体" w:cs="Times New Roman"/>
          <w:sz w:val="24"/>
          <w:szCs w:val="24"/>
        </w:rPr>
        <w:t>目标公司收款账户。</w:t>
      </w:r>
    </w:p>
    <w:p>
      <w:pPr>
        <w:tabs>
          <w:tab w:val="left" w:pos="1652"/>
        </w:tabs>
        <w:adjustRightInd w:val="0"/>
        <w:snapToGrid w:val="0"/>
        <w:spacing w:before="156" w:beforeLines="50" w:after="156" w:afterLines="50" w:line="400" w:lineRule="exact"/>
        <w:ind w:left="2552"/>
        <w:rPr>
          <w:rFonts w:ascii="楷体" w:hAnsi="楷体" w:eastAsia="楷体" w:cs="Times New Roman"/>
          <w:sz w:val="24"/>
          <w:szCs w:val="24"/>
        </w:rPr>
      </w:pPr>
      <w:r>
        <w:rPr>
          <w:rFonts w:hint="eastAsia" w:ascii="楷体" w:hAnsi="楷体" w:eastAsia="楷体" w:cs="Times New Roman"/>
          <w:sz w:val="24"/>
          <w:szCs w:val="24"/>
        </w:rPr>
        <w:t>目标公司应当在销售现场公示前述销售回款账户，不得以公示的销售回款账户之外的其他账户收取目标项目预售</w:t>
      </w:r>
      <w:r>
        <w:rPr>
          <w:rFonts w:ascii="楷体" w:hAnsi="楷体" w:eastAsia="楷体" w:cs="Times New Roman"/>
          <w:sz w:val="24"/>
          <w:szCs w:val="24"/>
        </w:rPr>
        <w:t>/销售款项，不得以现金方</w:t>
      </w:r>
      <w:r>
        <w:rPr>
          <w:rFonts w:hint="eastAsia" w:ascii="楷体" w:hAnsi="楷体" w:eastAsia="楷体" w:cs="Times New Roman"/>
          <w:sz w:val="24"/>
          <w:szCs w:val="24"/>
        </w:rPr>
        <w:t>式收取目标项目的预售</w:t>
      </w:r>
      <w:r>
        <w:rPr>
          <w:rFonts w:ascii="楷体" w:hAnsi="楷体" w:eastAsia="楷体" w:cs="Times New Roman"/>
          <w:sz w:val="24"/>
          <w:szCs w:val="24"/>
        </w:rPr>
        <w:t>/销售款项。</w:t>
      </w:r>
      <w:r>
        <w:rPr>
          <w:rFonts w:hint="eastAsia" w:ascii="楷体" w:hAnsi="楷体" w:eastAsia="楷体" w:cs="Times New Roman"/>
          <w:sz w:val="24"/>
          <w:szCs w:val="24"/>
        </w:rPr>
        <w:t>同时若乙方和目标公司违反销售回款监管约定的，则应按本合同约定承担责任。</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基于本款约定，在目标公司债务清偿完毕前，乙方和目标公司在此确认及授权甲方有权根据销售监管和销售回款的监管情况不时的直接与销售资金监管部门沟通、查询销售资金的收支情况，并同意及授权甲方代表目标公司向资金监管部门申请核拨和使用销售资金，并将满足核拨和使用的销售资金支付至甲方。为满足前述条件的行使，乙方和目标公司同意在本合同签订时按甲方提供的授权委托书文本和甲方要求的文本份数出具相应的授权委托书，特别地，乙方和目标公司同意根据甲方的要求，不时地向甲方和资金监管部门出具满足资金监管部门要求的授权委托书。</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r>
        <w:rPr>
          <w:rFonts w:hint="eastAsia" w:ascii="楷体" w:hAnsi="楷体" w:eastAsia="楷体" w:cs="Times New Roman"/>
          <w:b/>
          <w:sz w:val="24"/>
          <w:szCs w:val="24"/>
        </w:rPr>
        <w:t>目标公司债务担保</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bookmarkStart w:id="11" w:name="_Ref435039513"/>
      <w:r>
        <w:rPr>
          <w:rFonts w:hint="eastAsia" w:ascii="楷体" w:hAnsi="楷体" w:eastAsia="楷体" w:cs="Times New Roman"/>
          <w:sz w:val="24"/>
          <w:szCs w:val="24"/>
        </w:rPr>
        <w:t>为确保乙方和目标公司清偿本合同及《借款合同》项下的目标公司债务，保障甲方权益的实现，乙方和目标公司同意按照本合同和与本合同同时签署的附件二《抵押合同》、《质押合同》的约定提供担保。</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担保财产</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和目标公司用如下财产为目标公司债务提供担保：（1）乙方在竞买转让标的时向交易所或甲方提供的经甲方认可的财产；及（2）目标地块土地使用权。各方同意，担保期限为目标公司债务履行期限届满后三年。</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乙方保证是</w:t>
      </w:r>
      <w:r>
        <w:rPr>
          <w:rFonts w:hint="eastAsia" w:ascii="楷体" w:hAnsi="楷体" w:eastAsia="楷体" w:cs="Times New Roman"/>
          <w:sz w:val="24"/>
          <w:szCs w:val="24"/>
        </w:rPr>
        <w:t>其提供的</w:t>
      </w:r>
      <w:r>
        <w:rPr>
          <w:rFonts w:ascii="楷体" w:hAnsi="楷体" w:eastAsia="楷体" w:cs="Times New Roman"/>
          <w:sz w:val="24"/>
          <w:szCs w:val="24"/>
        </w:rPr>
        <w:t>担保财产的完全的、合法有效的所有人并享有对担保财产的完全处分权；担保财产不存在任何未书面告知甲方的瑕疵或负担，包括但不限于担保财产存在权属争议或拖欠购置价款、维修费用、建设工程价款、税费、建设用地使用权出让金、损害赔偿金以及被依法查封、扣押、监管、被出租、被留置等情形。</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抵押（质押）权的效力及于担保财产产生的孳息、担保财产的从物、从权利、附属物、分离物、添附物，以及因担保财产的毁损、灭失或被征收、征用后而获得的保险金、赔偿金、补偿金或者其他形式的替代物。</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当担保财产依法应当换发权利证书时，乙方或/和目标公司应当提前告知甲方，并经甲方书面同意后，由双方共同办理换证。如因担保财产换发权利证书导致甲方收执的担保财产证明文件与上述换发后权利证书或者登记机关的登记簿相关记载不一致的，乙方或/和目标公司不得以此为由拒绝承担担保责任</w:t>
      </w:r>
      <w:r>
        <w:rPr>
          <w:rFonts w:hint="eastAsia" w:ascii="楷体" w:hAnsi="楷体" w:eastAsia="楷体" w:cs="Times New Roman"/>
          <w:sz w:val="24"/>
          <w:szCs w:val="24"/>
        </w:rPr>
        <w:t>，并</w:t>
      </w:r>
      <w:r>
        <w:rPr>
          <w:rFonts w:ascii="楷体" w:hAnsi="楷体" w:eastAsia="楷体" w:cs="Times New Roman"/>
          <w:sz w:val="24"/>
          <w:szCs w:val="24"/>
        </w:rPr>
        <w:t>根据甲方的要求，共同办理抵押（质押）登记的变更手续。</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担保财产及其权属凭证的占管及责任</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本合同项下的担保财产由乙方和目标公司根据各自对担保财产的权属各自占管。乙方和目标公司应妥善地对担保财产进行占有、保管和维护保养，合理使用担保财产，确保抵担保产保持完好状态，并按时足额缴纳与担保财产有关的各种税金和费用。甲方有权随时对</w:t>
      </w:r>
      <w:r>
        <w:rPr>
          <w:rFonts w:hint="eastAsia" w:ascii="楷体" w:hAnsi="楷体" w:eastAsia="楷体" w:cs="Times New Roman"/>
          <w:sz w:val="24"/>
          <w:szCs w:val="24"/>
        </w:rPr>
        <w:t>担保财产</w:t>
      </w:r>
      <w:r>
        <w:rPr>
          <w:rFonts w:ascii="楷体" w:hAnsi="楷体" w:eastAsia="楷体" w:cs="Times New Roman"/>
          <w:sz w:val="24"/>
          <w:szCs w:val="24"/>
        </w:rPr>
        <w:t>进行检查。</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经甲方书面同意，</w:t>
      </w:r>
      <w:r>
        <w:rPr>
          <w:rFonts w:hint="eastAsia" w:ascii="楷体" w:hAnsi="楷体" w:eastAsia="楷体" w:cs="Times New Roman"/>
          <w:sz w:val="24"/>
          <w:szCs w:val="24"/>
        </w:rPr>
        <w:t>乙方</w:t>
      </w:r>
      <w:r>
        <w:rPr>
          <w:rFonts w:ascii="楷体" w:hAnsi="楷体" w:eastAsia="楷体" w:cs="Times New Roman"/>
          <w:sz w:val="24"/>
          <w:szCs w:val="24"/>
        </w:rPr>
        <w:t>委托或同意第三</w:t>
      </w:r>
      <w:r>
        <w:rPr>
          <w:rFonts w:hint="eastAsia" w:ascii="楷体" w:hAnsi="楷体" w:eastAsia="楷体" w:cs="Times New Roman"/>
          <w:sz w:val="24"/>
          <w:szCs w:val="24"/>
        </w:rPr>
        <w:t>方</w:t>
      </w:r>
      <w:r>
        <w:rPr>
          <w:rFonts w:ascii="楷体" w:hAnsi="楷体" w:eastAsia="楷体" w:cs="Times New Roman"/>
          <w:sz w:val="24"/>
          <w:szCs w:val="24"/>
        </w:rPr>
        <w:t>占有、保管、使用担保财产的，应当明确告知该第三人担保物权的存在，并要求其合理使用担保财产，保持担保财产的完好，无条件接受甲方对担保财产的检查以及不得妨碍甲方实现担保物权。乙方不因此免除第</w:t>
      </w:r>
      <w:r>
        <w:rPr>
          <w:rFonts w:hint="eastAsia" w:ascii="楷体" w:hAnsi="楷体" w:eastAsia="楷体" w:cs="Times New Roman"/>
          <w:sz w:val="24"/>
          <w:szCs w:val="24"/>
        </w:rPr>
        <w:t>7.3.1</w:t>
      </w:r>
      <w:r>
        <w:rPr>
          <w:rFonts w:ascii="楷体" w:hAnsi="楷体" w:eastAsia="楷体" w:cs="Times New Roman"/>
          <w:sz w:val="24"/>
          <w:szCs w:val="24"/>
        </w:rPr>
        <w:t>项中的义务，同时应当对该第三</w:t>
      </w:r>
      <w:r>
        <w:rPr>
          <w:rFonts w:hint="eastAsia" w:ascii="楷体" w:hAnsi="楷体" w:eastAsia="楷体" w:cs="Times New Roman"/>
          <w:sz w:val="24"/>
          <w:szCs w:val="24"/>
        </w:rPr>
        <w:t>方</w:t>
      </w:r>
      <w:r>
        <w:rPr>
          <w:rFonts w:ascii="楷体" w:hAnsi="楷体" w:eastAsia="楷体" w:cs="Times New Roman"/>
          <w:sz w:val="24"/>
          <w:szCs w:val="24"/>
        </w:rPr>
        <w:t>的行为承担责任。</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乙方应将担保财产的权利证书及其它相关证明文件交由甲方保管。</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担保期间，</w:t>
      </w:r>
      <w:r>
        <w:rPr>
          <w:rFonts w:hint="eastAsia" w:ascii="楷体" w:hAnsi="楷体" w:eastAsia="楷体" w:cs="Times New Roman"/>
          <w:sz w:val="24"/>
          <w:szCs w:val="24"/>
        </w:rPr>
        <w:t>担保</w:t>
      </w:r>
      <w:r>
        <w:rPr>
          <w:rFonts w:ascii="楷体" w:hAnsi="楷体" w:eastAsia="楷体" w:cs="Times New Roman"/>
          <w:sz w:val="24"/>
          <w:szCs w:val="24"/>
        </w:rPr>
        <w:t>物价值减少的，</w:t>
      </w:r>
      <w:r>
        <w:rPr>
          <w:rFonts w:hint="eastAsia" w:ascii="楷体" w:hAnsi="楷体" w:eastAsia="楷体" w:cs="Times New Roman"/>
          <w:sz w:val="24"/>
          <w:szCs w:val="24"/>
        </w:rPr>
        <w:t>甲方</w:t>
      </w:r>
      <w:r>
        <w:rPr>
          <w:rFonts w:ascii="楷体" w:hAnsi="楷体" w:eastAsia="楷体" w:cs="Times New Roman"/>
          <w:sz w:val="24"/>
          <w:szCs w:val="24"/>
        </w:rPr>
        <w:t>有权要求</w:t>
      </w:r>
      <w:r>
        <w:rPr>
          <w:rFonts w:hint="eastAsia" w:ascii="楷体" w:hAnsi="楷体" w:eastAsia="楷体" w:cs="Times New Roman"/>
          <w:sz w:val="24"/>
          <w:szCs w:val="24"/>
        </w:rPr>
        <w:t>乙方或目标公司</w:t>
      </w:r>
      <w:r>
        <w:rPr>
          <w:rFonts w:ascii="楷体" w:hAnsi="楷体" w:eastAsia="楷体" w:cs="Times New Roman"/>
          <w:sz w:val="24"/>
          <w:szCs w:val="24"/>
        </w:rPr>
        <w:t>恢复</w:t>
      </w:r>
      <w:r>
        <w:rPr>
          <w:rFonts w:hint="eastAsia" w:ascii="楷体" w:hAnsi="楷体" w:eastAsia="楷体" w:cs="Times New Roman"/>
          <w:sz w:val="24"/>
          <w:szCs w:val="24"/>
        </w:rPr>
        <w:t>担保</w:t>
      </w:r>
      <w:r>
        <w:rPr>
          <w:rFonts w:ascii="楷体" w:hAnsi="楷体" w:eastAsia="楷体" w:cs="Times New Roman"/>
          <w:sz w:val="24"/>
          <w:szCs w:val="24"/>
        </w:rPr>
        <w:t>物的价值或提供</w:t>
      </w:r>
      <w:r>
        <w:rPr>
          <w:rFonts w:hint="eastAsia" w:ascii="楷体" w:hAnsi="楷体" w:eastAsia="楷体" w:cs="Times New Roman"/>
          <w:sz w:val="24"/>
          <w:szCs w:val="24"/>
        </w:rPr>
        <w:t>甲方</w:t>
      </w:r>
      <w:r>
        <w:rPr>
          <w:rFonts w:ascii="楷体" w:hAnsi="楷体" w:eastAsia="楷体" w:cs="Times New Roman"/>
          <w:sz w:val="24"/>
          <w:szCs w:val="24"/>
        </w:rPr>
        <w:t>认可的与减少的价值相当的担保。</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担保物发生毁损、灭失、被征用、被征收或者因附合、混合、加工使担保物的所有权或使用权为第三</w:t>
      </w:r>
      <w:r>
        <w:rPr>
          <w:rFonts w:hint="eastAsia" w:ascii="楷体" w:hAnsi="楷体" w:eastAsia="楷体" w:cs="Times New Roman"/>
          <w:sz w:val="24"/>
          <w:szCs w:val="24"/>
        </w:rPr>
        <w:t>方</w:t>
      </w:r>
      <w:r>
        <w:rPr>
          <w:rFonts w:ascii="楷体" w:hAnsi="楷体" w:eastAsia="楷体" w:cs="Times New Roman"/>
          <w:sz w:val="24"/>
          <w:szCs w:val="24"/>
        </w:rPr>
        <w:t>所有（</w:t>
      </w:r>
      <w:r>
        <w:rPr>
          <w:rFonts w:hint="eastAsia" w:ascii="楷体" w:hAnsi="楷体" w:eastAsia="楷体" w:cs="Times New Roman"/>
          <w:sz w:val="24"/>
          <w:szCs w:val="24"/>
        </w:rPr>
        <w:t>或</w:t>
      </w:r>
      <w:r>
        <w:rPr>
          <w:rFonts w:ascii="楷体" w:hAnsi="楷体" w:eastAsia="楷体" w:cs="Times New Roman"/>
          <w:sz w:val="24"/>
          <w:szCs w:val="24"/>
        </w:rPr>
        <w:t>共有）等的，乙方应立即采取措施防止损失扩大，同时立即书面通知甲方；乙方</w:t>
      </w:r>
      <w:r>
        <w:rPr>
          <w:rFonts w:hint="eastAsia" w:ascii="楷体" w:hAnsi="楷体" w:eastAsia="楷体" w:cs="Times New Roman"/>
          <w:sz w:val="24"/>
          <w:szCs w:val="24"/>
        </w:rPr>
        <w:t>和目标公司</w:t>
      </w:r>
      <w:r>
        <w:rPr>
          <w:rFonts w:ascii="楷体" w:hAnsi="楷体" w:eastAsia="楷体" w:cs="Times New Roman"/>
          <w:sz w:val="24"/>
          <w:szCs w:val="24"/>
        </w:rPr>
        <w:t>还应及时向甲方提交其主管机关或有权部门出具的发生前述情形的原因证明。</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担保物</w:t>
      </w:r>
      <w:r>
        <w:rPr>
          <w:rFonts w:ascii="楷体" w:hAnsi="楷体" w:eastAsia="楷体" w:cs="Times New Roman"/>
          <w:sz w:val="24"/>
          <w:szCs w:val="24"/>
        </w:rPr>
        <w:t>发生第</w:t>
      </w:r>
      <w:r>
        <w:rPr>
          <w:rFonts w:hint="eastAsia" w:ascii="楷体" w:hAnsi="楷体" w:eastAsia="楷体" w:cs="Times New Roman"/>
          <w:sz w:val="24"/>
          <w:szCs w:val="24"/>
        </w:rPr>
        <w:t>7.3.5项</w:t>
      </w:r>
      <w:r>
        <w:rPr>
          <w:rFonts w:ascii="楷体" w:hAnsi="楷体" w:eastAsia="楷体" w:cs="Times New Roman"/>
          <w:sz w:val="24"/>
          <w:szCs w:val="24"/>
        </w:rPr>
        <w:t>情形的，乙方</w:t>
      </w:r>
      <w:r>
        <w:rPr>
          <w:rFonts w:hint="eastAsia" w:ascii="楷体" w:hAnsi="楷体" w:eastAsia="楷体" w:cs="Times New Roman"/>
          <w:sz w:val="24"/>
          <w:szCs w:val="24"/>
        </w:rPr>
        <w:t>或目标公司</w:t>
      </w:r>
      <w:r>
        <w:rPr>
          <w:rFonts w:ascii="楷体" w:hAnsi="楷体" w:eastAsia="楷体" w:cs="Times New Roman"/>
          <w:sz w:val="24"/>
          <w:szCs w:val="24"/>
        </w:rPr>
        <w:t>所获得的保险金、赔偿金或补偿金应用于提前清偿目标公司债务，或经甲方同意用于恢复担保物的价值，或存入甲方指定的账户，或进行提存，以担保目标公司债务的履行。</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抵押（质押）登记</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在本合同签订后【</w:t>
      </w:r>
      <w:r>
        <w:rPr>
          <w:rFonts w:hint="eastAsia" w:ascii="楷体" w:hAnsi="楷体" w:eastAsia="楷体" w:cs="Times New Roman"/>
          <w:sz w:val="24"/>
          <w:szCs w:val="24"/>
          <w:lang w:val="en-US" w:eastAsia="zh-CN"/>
        </w:rPr>
        <w:t>5</w:t>
      </w:r>
      <w:r>
        <w:rPr>
          <w:rFonts w:hint="eastAsia" w:ascii="楷体" w:hAnsi="楷体" w:eastAsia="楷体" w:cs="Times New Roman"/>
          <w:sz w:val="24"/>
          <w:szCs w:val="24"/>
        </w:rPr>
        <w:t>】日内，各方相互配合办理担保财产的抵押（质押）登记手续，特别地，由双方根据乙方提供的担保财产性质办理相应的抵押或</w:t>
      </w:r>
      <w:r>
        <w:rPr>
          <w:rFonts w:ascii="楷体" w:hAnsi="楷体" w:eastAsia="楷体" w:cs="Times New Roman"/>
          <w:sz w:val="24"/>
          <w:szCs w:val="24"/>
        </w:rPr>
        <w:t>/和质押登记手续。乙方和目标公司应于抵押（质押）登记完成之日，将抵押（质押）财产的他项权利证书、抵押（质押）登记文件正本原件及其他权利证书交甲方持有。抵押（质押）登记事项发生变化依法应当变更登记的，</w:t>
      </w:r>
      <w:r>
        <w:rPr>
          <w:rFonts w:hint="eastAsia" w:ascii="楷体" w:hAnsi="楷体" w:eastAsia="楷体" w:cs="Times New Roman"/>
          <w:sz w:val="24"/>
          <w:szCs w:val="24"/>
        </w:rPr>
        <w:t>各方</w:t>
      </w:r>
      <w:r>
        <w:rPr>
          <w:rFonts w:ascii="楷体" w:hAnsi="楷体" w:eastAsia="楷体" w:cs="Times New Roman"/>
          <w:sz w:val="24"/>
          <w:szCs w:val="24"/>
        </w:rPr>
        <w:t>应当及时办理变更登记。</w:t>
      </w:r>
    </w:p>
    <w:p>
      <w:pPr>
        <w:tabs>
          <w:tab w:val="left" w:pos="1652"/>
        </w:tabs>
        <w:adjustRightInd w:val="0"/>
        <w:snapToGrid w:val="0"/>
        <w:spacing w:before="156" w:beforeLines="50" w:after="156" w:afterLines="50" w:line="400" w:lineRule="exact"/>
        <w:ind w:left="1652"/>
        <w:rPr>
          <w:rFonts w:ascii="楷体" w:hAnsi="楷体" w:eastAsia="楷体" w:cs="Times New Roman"/>
          <w:sz w:val="24"/>
          <w:szCs w:val="24"/>
        </w:rPr>
      </w:pPr>
      <w:r>
        <w:rPr>
          <w:rFonts w:hint="eastAsia" w:ascii="楷体" w:hAnsi="楷体" w:eastAsia="楷体" w:cs="Times New Roman"/>
          <w:sz w:val="24"/>
          <w:szCs w:val="24"/>
        </w:rPr>
        <w:t>若担保财产依法无需办理抵押（质押）登记的，各方相互配合自本合同签订之日起【</w:t>
      </w:r>
      <w:r>
        <w:rPr>
          <w:rFonts w:hint="eastAsia" w:ascii="楷体" w:hAnsi="楷体" w:eastAsia="楷体" w:cs="Times New Roman"/>
          <w:sz w:val="24"/>
          <w:szCs w:val="24"/>
          <w:lang w:val="en-US" w:eastAsia="zh-CN"/>
        </w:rPr>
        <w:t>5</w:t>
      </w:r>
      <w:r>
        <w:rPr>
          <w:rFonts w:hint="eastAsia" w:ascii="楷体" w:hAnsi="楷体" w:eastAsia="楷体" w:cs="Times New Roman"/>
          <w:sz w:val="24"/>
          <w:szCs w:val="24"/>
        </w:rPr>
        <w:t>】日内，持本合同及有关资料到甲方所在地的公证部门办理抵押（质押）公证，公证费由乙方承担。</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未经甲方书面同意，乙方和目标公司不得为担保物设置其他顺位的抵押或质押。</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追加抵押</w:t>
      </w:r>
    </w:p>
    <w:p>
      <w:pPr>
        <w:tabs>
          <w:tab w:val="left" w:pos="1442"/>
        </w:tabs>
        <w:adjustRightInd w:val="0"/>
        <w:snapToGrid w:val="0"/>
        <w:spacing w:before="156" w:beforeLines="50" w:after="156" w:afterLines="50" w:line="400" w:lineRule="exact"/>
        <w:ind w:left="567"/>
        <w:rPr>
          <w:rFonts w:ascii="楷体" w:hAnsi="楷体" w:eastAsia="楷体" w:cs="Times New Roman"/>
          <w:sz w:val="24"/>
          <w:szCs w:val="24"/>
        </w:rPr>
      </w:pPr>
      <w:r>
        <w:rPr>
          <w:rFonts w:hint="eastAsia" w:ascii="楷体" w:hAnsi="楷体" w:eastAsia="楷体" w:cs="Times New Roman"/>
          <w:sz w:val="24"/>
          <w:szCs w:val="24"/>
        </w:rPr>
        <w:t>乙方和目标公司承诺，在目标公司债务清偿完毕前，抵押物上的任何在建工程符合在建工程抵押条件之日后【</w:t>
      </w:r>
      <w:r>
        <w:rPr>
          <w:rFonts w:hint="eastAsia" w:ascii="楷体" w:hAnsi="楷体" w:eastAsia="楷体" w:cs="Times New Roman"/>
          <w:color w:val="auto"/>
          <w:sz w:val="24"/>
          <w:szCs w:val="24"/>
          <w:lang w:val="en-US" w:eastAsia="zh-CN"/>
        </w:rPr>
        <w:t>5</w:t>
      </w:r>
      <w:r>
        <w:rPr>
          <w:rFonts w:hint="eastAsia" w:ascii="楷体" w:hAnsi="楷体" w:eastAsia="楷体" w:cs="Times New Roman"/>
          <w:sz w:val="24"/>
          <w:szCs w:val="24"/>
        </w:rPr>
        <w:t>】个工作日内办理完毕将该等在建工程追加抵押给甲方的抵押登记手续并取得抵押登记的权利证明文件。</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sz w:val="24"/>
          <w:szCs w:val="24"/>
        </w:rPr>
      </w:pPr>
      <w:r>
        <w:rPr>
          <w:rFonts w:hint="eastAsia" w:ascii="楷体" w:hAnsi="楷体" w:eastAsia="楷体" w:cs="Times New Roman"/>
          <w:sz w:val="24"/>
          <w:szCs w:val="24"/>
        </w:rPr>
        <w:t>在目标公司债务清偿完毕前，若因目标项目</w:t>
      </w:r>
      <w:r>
        <w:rPr>
          <w:rFonts w:ascii="楷体" w:hAnsi="楷体" w:eastAsia="楷体" w:cs="Times New Roman"/>
          <w:sz w:val="24"/>
          <w:szCs w:val="24"/>
        </w:rPr>
        <w:t>销售需甲方配合</w:t>
      </w:r>
      <w:r>
        <w:rPr>
          <w:rFonts w:hint="eastAsia" w:ascii="楷体" w:hAnsi="楷体" w:eastAsia="楷体" w:cs="Times New Roman"/>
          <w:sz w:val="24"/>
          <w:szCs w:val="24"/>
        </w:rPr>
        <w:t>（仅提供同意预售的书面文件）</w:t>
      </w:r>
      <w:r>
        <w:rPr>
          <w:rFonts w:ascii="楷体" w:hAnsi="楷体" w:eastAsia="楷体" w:cs="Times New Roman"/>
          <w:sz w:val="24"/>
          <w:szCs w:val="24"/>
        </w:rPr>
        <w:t>办理预售许可证的，乙方或目标公司应另行提供经甲方届时认可的担保物，并办妥相应的抵押或质押登记手续，担保物的价值不低于</w:t>
      </w:r>
      <w:r>
        <w:rPr>
          <w:rFonts w:hint="eastAsia" w:ascii="楷体" w:hAnsi="楷体" w:eastAsia="楷体" w:cs="Times New Roman"/>
          <w:sz w:val="24"/>
          <w:szCs w:val="24"/>
        </w:rPr>
        <w:t>目标地块使用权在办理抵押登记时的抵押价值</w:t>
      </w:r>
      <w:r>
        <w:rPr>
          <w:rFonts w:ascii="楷体" w:hAnsi="楷体" w:eastAsia="楷体" w:cs="Times New Roman"/>
          <w:sz w:val="24"/>
          <w:szCs w:val="24"/>
        </w:rPr>
        <w:t>。为免存疑，各方确认，担保物价值评估应委托甲方指定的评估公司开展，评估费用由乙方承担，且担保物的价值</w:t>
      </w:r>
      <w:r>
        <w:rPr>
          <w:rFonts w:hint="eastAsia" w:ascii="楷体" w:hAnsi="楷体" w:eastAsia="楷体" w:cs="Times New Roman"/>
          <w:sz w:val="24"/>
          <w:szCs w:val="24"/>
        </w:rPr>
        <w:t>最高不超过</w:t>
      </w:r>
      <w:r>
        <w:rPr>
          <w:rFonts w:ascii="楷体" w:hAnsi="楷体" w:eastAsia="楷体" w:cs="Times New Roman"/>
          <w:sz w:val="24"/>
          <w:szCs w:val="24"/>
        </w:rPr>
        <w:t>评估价值的【</w:t>
      </w:r>
      <w:r>
        <w:rPr>
          <w:rFonts w:hint="eastAsia" w:ascii="楷体" w:hAnsi="楷体" w:eastAsia="楷体" w:cs="Times New Roman"/>
          <w:sz w:val="24"/>
          <w:szCs w:val="24"/>
          <w:lang w:val="en-US" w:eastAsia="zh-CN"/>
        </w:rPr>
        <w:t>70</w:t>
      </w:r>
      <w:r>
        <w:rPr>
          <w:rFonts w:ascii="楷体" w:hAnsi="楷体" w:eastAsia="楷体" w:cs="Times New Roman"/>
          <w:sz w:val="24"/>
          <w:szCs w:val="24"/>
        </w:rPr>
        <w:t>】%计取。</w:t>
      </w:r>
    </w:p>
    <w:bookmarkEnd w:id="11"/>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12" w:name="_Toc161334839"/>
      <w:bookmarkStart w:id="13" w:name="_Toc328494932"/>
      <w:r>
        <w:rPr>
          <w:rFonts w:ascii="楷体" w:hAnsi="楷体" w:eastAsia="楷体" w:cs="Times New Roman"/>
          <w:b/>
          <w:sz w:val="24"/>
          <w:szCs w:val="24"/>
        </w:rPr>
        <w:t>特别约定</w:t>
      </w:r>
      <w:bookmarkEnd w:id="12"/>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bCs/>
          <w:sz w:val="24"/>
          <w:szCs w:val="24"/>
        </w:rPr>
      </w:pPr>
      <w:r>
        <w:rPr>
          <w:rFonts w:ascii="楷体" w:hAnsi="楷体" w:eastAsia="楷体" w:cs="Times New Roman"/>
          <w:bCs/>
          <w:sz w:val="24"/>
          <w:szCs w:val="24"/>
        </w:rPr>
        <w:t>在本合同签订前，乙方已对目标公司及目标公司资产情况（包括但不限于目标地块的规划和现场建设）进行充分了解并完成相应的尽职调查工作，</w:t>
      </w:r>
      <w:r>
        <w:rPr>
          <w:rFonts w:hint="eastAsia" w:ascii="楷体" w:hAnsi="楷体" w:eastAsia="楷体" w:cs="Times New Roman"/>
          <w:bCs/>
          <w:sz w:val="24"/>
          <w:szCs w:val="24"/>
        </w:rPr>
        <w:t>并</w:t>
      </w:r>
      <w:r>
        <w:rPr>
          <w:rFonts w:ascii="楷体" w:hAnsi="楷体" w:eastAsia="楷体" w:cs="Times New Roman"/>
          <w:bCs/>
          <w:sz w:val="24"/>
          <w:szCs w:val="24"/>
        </w:rPr>
        <w:t>基于目标公司的现状</w:t>
      </w:r>
      <w:r>
        <w:rPr>
          <w:rFonts w:hint="eastAsia" w:ascii="楷体" w:hAnsi="楷体" w:eastAsia="楷体" w:cs="Times New Roman"/>
          <w:bCs/>
          <w:sz w:val="24"/>
          <w:szCs w:val="24"/>
        </w:rPr>
        <w:t>报名竞买转让标的</w:t>
      </w:r>
      <w:r>
        <w:rPr>
          <w:rFonts w:ascii="楷体" w:hAnsi="楷体" w:eastAsia="楷体" w:cs="Times New Roman"/>
          <w:bCs/>
          <w:sz w:val="24"/>
          <w:szCs w:val="24"/>
        </w:rPr>
        <w:t>。乙方参与转让标的竞买和签署本合同即视为对</w:t>
      </w:r>
      <w:r>
        <w:rPr>
          <w:rFonts w:hint="eastAsia" w:ascii="楷体" w:hAnsi="楷体" w:eastAsia="楷体" w:cs="Times New Roman"/>
          <w:bCs/>
          <w:sz w:val="24"/>
          <w:szCs w:val="24"/>
        </w:rPr>
        <w:t>转让</w:t>
      </w:r>
      <w:r>
        <w:rPr>
          <w:rFonts w:ascii="楷体" w:hAnsi="楷体" w:eastAsia="楷体" w:cs="Times New Roman"/>
          <w:bCs/>
          <w:sz w:val="24"/>
          <w:szCs w:val="24"/>
        </w:rPr>
        <w:t>标的及目标公司资产的概括接受，视为对目标地块现状（包含但不限于规划、建设方案及施工现状、土地现状）和可能存在的风险等无异议并完全接受，不</w:t>
      </w:r>
      <w:r>
        <w:rPr>
          <w:rFonts w:hint="eastAsia" w:ascii="楷体" w:hAnsi="楷体" w:eastAsia="楷体" w:cs="Times New Roman"/>
          <w:bCs/>
          <w:sz w:val="24"/>
          <w:szCs w:val="24"/>
        </w:rPr>
        <w:t>会在</w:t>
      </w:r>
      <w:r>
        <w:rPr>
          <w:rFonts w:ascii="楷体" w:hAnsi="楷体" w:eastAsia="楷体" w:cs="Times New Roman"/>
          <w:bCs/>
          <w:sz w:val="24"/>
          <w:szCs w:val="24"/>
        </w:rPr>
        <w:t>签署本合同后再以</w:t>
      </w:r>
      <w:r>
        <w:rPr>
          <w:rFonts w:hint="eastAsia" w:ascii="楷体" w:hAnsi="楷体" w:eastAsia="楷体" w:cs="Times New Roman"/>
          <w:bCs/>
          <w:sz w:val="24"/>
          <w:szCs w:val="24"/>
        </w:rPr>
        <w:t>目标公司、</w:t>
      </w:r>
      <w:r>
        <w:rPr>
          <w:rFonts w:ascii="楷体" w:hAnsi="楷体" w:eastAsia="楷体" w:cs="Times New Roman"/>
          <w:bCs/>
          <w:sz w:val="24"/>
          <w:szCs w:val="24"/>
        </w:rPr>
        <w:t>转让标的或资产存在瑕疵或（及）规划</w:t>
      </w:r>
      <w:r>
        <w:rPr>
          <w:rFonts w:hint="eastAsia" w:ascii="楷体" w:hAnsi="楷体" w:eastAsia="楷体" w:cs="Times New Roman"/>
          <w:bCs/>
          <w:sz w:val="24"/>
          <w:szCs w:val="24"/>
        </w:rPr>
        <w:t>等与现行法律政策不一致或（及）甲方未作完整披露为由提出异议或索赔</w:t>
      </w:r>
      <w:r>
        <w:rPr>
          <w:rFonts w:ascii="楷体" w:hAnsi="楷体" w:eastAsia="楷体" w:cs="Times New Roman"/>
          <w:bCs/>
          <w:sz w:val="24"/>
          <w:szCs w:val="24"/>
        </w:rPr>
        <w:t>。</w:t>
      </w:r>
      <w:r>
        <w:rPr>
          <w:rFonts w:hint="eastAsia" w:ascii="楷体" w:hAnsi="楷体" w:eastAsia="楷体" w:cs="Times New Roman"/>
          <w:bCs/>
          <w:sz w:val="24"/>
          <w:szCs w:val="24"/>
        </w:rPr>
        <w:t>若目标地块内涉及环保、地下（地上）管线或其他设施等需要办理手续、迁改或保留等，由乙方和目标公司向相关部门申报办理并承担费用。</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14" w:name="_Toc161334840"/>
      <w:r>
        <w:rPr>
          <w:rFonts w:ascii="楷体" w:hAnsi="楷体" w:eastAsia="楷体" w:cs="Times New Roman"/>
          <w:b/>
          <w:sz w:val="24"/>
          <w:szCs w:val="24"/>
        </w:rPr>
        <w:t>陈述和保证</w:t>
      </w:r>
      <w:bookmarkEnd w:id="14"/>
    </w:p>
    <w:bookmarkEnd w:id="13"/>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Cs/>
          <w:sz w:val="24"/>
        </w:rPr>
      </w:pPr>
      <w:r>
        <w:rPr>
          <w:rFonts w:hint="eastAsia" w:ascii="楷体" w:hAnsi="楷体" w:eastAsia="楷体" w:cs="Times New Roman"/>
          <w:bCs/>
          <w:sz w:val="24"/>
        </w:rPr>
        <w:t>甲方</w:t>
      </w:r>
      <w:r>
        <w:rPr>
          <w:rFonts w:ascii="楷体" w:hAnsi="楷体" w:eastAsia="楷体" w:cs="Times New Roman"/>
          <w:bCs/>
          <w:sz w:val="24"/>
        </w:rPr>
        <w:t>的陈述和保证</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kern w:val="0"/>
          <w:sz w:val="24"/>
          <w:szCs w:val="24"/>
        </w:rPr>
      </w:pPr>
      <w:r>
        <w:rPr>
          <w:rFonts w:hint="eastAsia" w:ascii="楷体" w:hAnsi="楷体" w:eastAsia="楷体" w:cs="Times New Roman"/>
          <w:kern w:val="0"/>
          <w:sz w:val="24"/>
          <w:szCs w:val="24"/>
        </w:rPr>
        <w:t>拥有合法的权利和授权签订和履行本合同</w:t>
      </w:r>
      <w:r>
        <w:rPr>
          <w:rFonts w:ascii="楷体" w:hAnsi="楷体" w:eastAsia="楷体" w:cs="Times New Roman"/>
          <w:kern w:val="0"/>
          <w:sz w:val="24"/>
          <w:szCs w:val="24"/>
        </w:rPr>
        <w:t xml:space="preserve">。 </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kern w:val="0"/>
          <w:sz w:val="24"/>
          <w:szCs w:val="24"/>
        </w:rPr>
      </w:pPr>
      <w:r>
        <w:rPr>
          <w:rFonts w:hint="eastAsia" w:ascii="楷体" w:hAnsi="楷体" w:eastAsia="楷体" w:cs="Times New Roman"/>
          <w:kern w:val="0"/>
          <w:sz w:val="24"/>
          <w:szCs w:val="24"/>
        </w:rPr>
        <w:t>有权按照本合同的约定对目标项目、资金使用进行监管，要求乙方和目标公司按本合同约定持续履行信息披露义务等</w:t>
      </w:r>
      <w:r>
        <w:rPr>
          <w:rFonts w:ascii="楷体" w:hAnsi="楷体" w:eastAsia="楷体" w:cs="Times New Roman"/>
          <w:kern w:val="0"/>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kern w:val="0"/>
          <w:sz w:val="24"/>
          <w:szCs w:val="24"/>
        </w:rPr>
      </w:pPr>
      <w:r>
        <w:rPr>
          <w:rFonts w:hint="eastAsia" w:ascii="楷体" w:hAnsi="楷体" w:eastAsia="楷体" w:cs="Times New Roman"/>
          <w:kern w:val="0"/>
          <w:sz w:val="24"/>
          <w:szCs w:val="24"/>
        </w:rPr>
        <w:t>已取得出让转让标的和</w:t>
      </w:r>
      <w:r>
        <w:rPr>
          <w:rFonts w:ascii="楷体" w:hAnsi="楷体" w:eastAsia="楷体" w:cs="Times New Roman"/>
          <w:kern w:val="0"/>
          <w:sz w:val="24"/>
          <w:szCs w:val="24"/>
        </w:rPr>
        <w:t>签订本合同所需的包括授权、审批、决策等在内的一切手续。</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sz w:val="24"/>
          <w:szCs w:val="24"/>
        </w:rPr>
      </w:pPr>
      <w:r>
        <w:rPr>
          <w:rFonts w:hint="eastAsia" w:ascii="楷体" w:hAnsi="楷体" w:eastAsia="楷体" w:cs="Times New Roman"/>
          <w:sz w:val="24"/>
          <w:szCs w:val="24"/>
        </w:rPr>
        <w:t>乙方和目标公司的陈述和保证</w:t>
      </w:r>
      <w:r>
        <w:rPr>
          <w:rFonts w:ascii="楷体" w:hAnsi="楷体" w:eastAsia="楷体" w:cs="Times New Roman"/>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乙方签署和履行本合同是其真实意思表示，并经过所有必需的同意、批准和授权，不存在任何法律上的瑕疵；</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除本合同另有约定外，乙方同意按照目标公司现状承继目标公司的全部权利义务</w:t>
      </w:r>
      <w:r>
        <w:rPr>
          <w:rFonts w:hint="eastAsia" w:ascii="楷体" w:hAnsi="楷体" w:eastAsia="楷体" w:cs="Times New Roman"/>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ascii="楷体" w:hAnsi="楷体" w:eastAsia="楷体" w:cs="Times New Roman"/>
          <w:sz w:val="24"/>
          <w:szCs w:val="24"/>
        </w:rPr>
        <w:t>乙方在签署和履行本合同过程中向甲方提</w:t>
      </w:r>
      <w:r>
        <w:rPr>
          <w:rFonts w:hint="eastAsia" w:ascii="楷体" w:hAnsi="楷体" w:eastAsia="楷体" w:cs="Times New Roman"/>
          <w:sz w:val="24"/>
          <w:szCs w:val="24"/>
        </w:rPr>
        <w:t>供</w:t>
      </w:r>
      <w:r>
        <w:rPr>
          <w:rFonts w:ascii="楷体" w:hAnsi="楷体" w:eastAsia="楷体" w:cs="Times New Roman"/>
          <w:sz w:val="24"/>
          <w:szCs w:val="24"/>
        </w:rPr>
        <w:t>的全部文件、报表、资料及信息是真实、</w:t>
      </w:r>
      <w:r>
        <w:rPr>
          <w:rFonts w:hint="eastAsia" w:ascii="楷体" w:hAnsi="楷体" w:eastAsia="楷体" w:cs="Times New Roman"/>
          <w:sz w:val="24"/>
          <w:szCs w:val="24"/>
        </w:rPr>
        <w:t>完整、准确和有效的，未向甲方隐瞒可能影响其和目标公司财务状况和还款能力的任何信息</w:t>
      </w:r>
      <w:r>
        <w:rPr>
          <w:rFonts w:ascii="楷体" w:hAnsi="楷体" w:eastAsia="楷体" w:cs="Times New Roman"/>
          <w:sz w:val="24"/>
          <w:szCs w:val="24"/>
        </w:rPr>
        <w:t>,不存在任何虚假记载、误导性陈述或重大遗漏，</w:t>
      </w:r>
      <w:r>
        <w:rPr>
          <w:rFonts w:hint="eastAsia" w:ascii="楷体" w:hAnsi="楷体" w:eastAsia="楷体" w:cs="Times New Roman"/>
          <w:sz w:val="24"/>
          <w:szCs w:val="24"/>
        </w:rPr>
        <w:t>不存在未向甲方披露的任何重大事项，包括对外担保、违约、侵权、或有负债等；</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在目标公司债务清偿完毕前，未经甲方同意，目标公司且不进行重大资产处置</w:t>
      </w:r>
      <w:r>
        <w:rPr>
          <w:rFonts w:ascii="楷体" w:hAnsi="楷体" w:eastAsia="楷体" w:cs="Times New Roman"/>
          <w:sz w:val="24"/>
          <w:szCs w:val="24"/>
        </w:rPr>
        <w:t>(销售开发的商品房情形除外)、减资、股权结构变更(包括但不限于</w:t>
      </w:r>
      <w:r>
        <w:rPr>
          <w:rFonts w:hint="eastAsia" w:ascii="楷体" w:hAnsi="楷体" w:eastAsia="楷体" w:cs="Times New Roman"/>
          <w:sz w:val="24"/>
          <w:szCs w:val="24"/>
        </w:rPr>
        <w:t>乙方转让其持有的目标公司股权、</w:t>
      </w:r>
      <w:r>
        <w:rPr>
          <w:rFonts w:ascii="楷体" w:hAnsi="楷体" w:eastAsia="楷体" w:cs="Times New Roman"/>
          <w:sz w:val="24"/>
          <w:szCs w:val="24"/>
        </w:rPr>
        <w:t>将其持有的</w:t>
      </w:r>
      <w:r>
        <w:rPr>
          <w:rFonts w:hint="eastAsia" w:ascii="楷体" w:hAnsi="楷体" w:eastAsia="楷体" w:cs="Times New Roman"/>
          <w:sz w:val="24"/>
          <w:szCs w:val="24"/>
        </w:rPr>
        <w:t>目标公司</w:t>
      </w:r>
      <w:r>
        <w:rPr>
          <w:rFonts w:ascii="楷体" w:hAnsi="楷体" w:eastAsia="楷体" w:cs="Times New Roman"/>
          <w:sz w:val="24"/>
          <w:szCs w:val="24"/>
        </w:rPr>
        <w:t>的股权对外提供质押担保等)或清算、注销</w:t>
      </w:r>
      <w:r>
        <w:rPr>
          <w:rFonts w:hint="eastAsia" w:ascii="楷体" w:hAnsi="楷体" w:eastAsia="楷体" w:cs="Times New Roman"/>
          <w:sz w:val="24"/>
          <w:szCs w:val="24"/>
        </w:rPr>
        <w:t>；</w:t>
      </w:r>
      <w:r>
        <w:rPr>
          <w:rFonts w:ascii="楷体" w:hAnsi="楷体" w:eastAsia="楷体" w:cs="Times New Roman"/>
          <w:sz w:val="24"/>
          <w:szCs w:val="24"/>
        </w:rPr>
        <w:t>确保</w:t>
      </w:r>
      <w:r>
        <w:rPr>
          <w:rFonts w:hint="eastAsia" w:ascii="楷体" w:hAnsi="楷体" w:eastAsia="楷体" w:cs="Times New Roman"/>
          <w:sz w:val="24"/>
          <w:szCs w:val="24"/>
        </w:rPr>
        <w:t>目标公司</w:t>
      </w:r>
      <w:r>
        <w:rPr>
          <w:rFonts w:ascii="楷体" w:hAnsi="楷体" w:eastAsia="楷体" w:cs="Times New Roman"/>
          <w:sz w:val="24"/>
          <w:szCs w:val="24"/>
        </w:rPr>
        <w:t>正常经营，保持良好财务状况，按期偿还</w:t>
      </w:r>
      <w:r>
        <w:rPr>
          <w:rFonts w:hint="eastAsia" w:ascii="楷体" w:hAnsi="楷体" w:eastAsia="楷体" w:cs="Times New Roman"/>
          <w:sz w:val="24"/>
          <w:szCs w:val="24"/>
        </w:rPr>
        <w:t>目标公司债务；乙方</w:t>
      </w:r>
      <w:r>
        <w:rPr>
          <w:rFonts w:ascii="楷体" w:hAnsi="楷体" w:eastAsia="楷体" w:cs="Times New Roman"/>
          <w:sz w:val="24"/>
          <w:szCs w:val="24"/>
        </w:rPr>
        <w:t>不得从</w:t>
      </w:r>
      <w:r>
        <w:rPr>
          <w:rFonts w:hint="eastAsia" w:ascii="楷体" w:hAnsi="楷体" w:eastAsia="楷体" w:cs="Times New Roman"/>
          <w:sz w:val="24"/>
          <w:szCs w:val="24"/>
        </w:rPr>
        <w:t>目标公司</w:t>
      </w:r>
      <w:r>
        <w:rPr>
          <w:rFonts w:ascii="楷体" w:hAnsi="楷体" w:eastAsia="楷体" w:cs="Times New Roman"/>
          <w:sz w:val="24"/>
          <w:szCs w:val="24"/>
        </w:rPr>
        <w:t>处抽回资金(包括但不限于收回借款、提取资金、抽逃注册资本金等)</w:t>
      </w:r>
      <w:r>
        <w:rPr>
          <w:rFonts w:hint="eastAsia" w:ascii="楷体" w:hAnsi="楷体" w:eastAsia="楷体" w:cs="Times New Roman"/>
          <w:sz w:val="24"/>
          <w:szCs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乙方和目标公司保证，在担保期限内，本合同约定之担保始终有效。对于本合同项下目标公司债务，如需重新签订担保文件和办理抵、质押登记的，保证及时签署担保文件并办理抵、质押登记手续，否则视为违约；</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sz w:val="24"/>
          <w:szCs w:val="24"/>
        </w:rPr>
      </w:pPr>
      <w:r>
        <w:rPr>
          <w:rFonts w:hint="eastAsia" w:ascii="楷体" w:hAnsi="楷体" w:eastAsia="楷体" w:cs="Times New Roman"/>
          <w:sz w:val="24"/>
          <w:szCs w:val="24"/>
        </w:rPr>
        <w:t>乙方和目标公司承诺，按照本合同的约定清偿目标公司债务，并配合甲方对销售情况和销售回款的监管。</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rPr>
      </w:pPr>
      <w:bookmarkStart w:id="15" w:name="_Toc161334841"/>
      <w:bookmarkStart w:id="16" w:name="_Toc358275085"/>
      <w:bookmarkStart w:id="17" w:name="_Toc328494936"/>
      <w:r>
        <w:rPr>
          <w:rFonts w:ascii="楷体" w:hAnsi="楷体" w:eastAsia="楷体" w:cs="Times New Roman"/>
          <w:b/>
          <w:sz w:val="24"/>
        </w:rPr>
        <w:t>违约责任</w:t>
      </w:r>
      <w:bookmarkEnd w:id="15"/>
      <w:bookmarkEnd w:id="16"/>
      <w:bookmarkEnd w:id="17"/>
      <w:bookmarkStart w:id="18" w:name="_Toc328494938"/>
      <w:bookmarkStart w:id="19" w:name="_Toc327559599"/>
      <w:bookmarkStart w:id="20" w:name="_Toc257622316"/>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sz w:val="24"/>
        </w:rPr>
      </w:pPr>
      <w:bookmarkStart w:id="21" w:name="_Hlk529540012"/>
      <w:r>
        <w:rPr>
          <w:rFonts w:ascii="楷体" w:hAnsi="楷体" w:eastAsia="楷体" w:cs="Times New Roman"/>
          <w:sz w:val="24"/>
        </w:rPr>
        <w:t>若任一方没有本合同约定的情形擅自单方解除本合同的，一方有权要求对方按照转让价款和</w:t>
      </w:r>
      <w:r>
        <w:rPr>
          <w:rFonts w:hint="eastAsia" w:ascii="楷体" w:hAnsi="楷体" w:eastAsia="楷体" w:cs="Times New Roman"/>
          <w:sz w:val="24"/>
        </w:rPr>
        <w:t>目标公司负债</w:t>
      </w:r>
      <w:r>
        <w:rPr>
          <w:rFonts w:ascii="楷体" w:hAnsi="楷体" w:eastAsia="楷体" w:cs="Times New Roman"/>
          <w:sz w:val="24"/>
        </w:rPr>
        <w:t>的总额的20%支付违约金。</w:t>
      </w:r>
      <w:r>
        <w:rPr>
          <w:rFonts w:ascii="楷体" w:hAnsi="楷体" w:eastAsia="楷体" w:cs="Times New Roman"/>
          <w:sz w:val="24"/>
          <w:szCs w:val="24"/>
        </w:rPr>
        <w:t>如该等违约金不足以弥补该方因此所遭受的损失的，相对方还应继续向该方承担赔偿责任直至该方的全部损失得以弥补为止。</w:t>
      </w:r>
    </w:p>
    <w:bookmarkEnd w:id="21"/>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sz w:val="24"/>
        </w:rPr>
      </w:pPr>
      <w:bookmarkStart w:id="22" w:name="_Hlk529540036"/>
      <w:r>
        <w:rPr>
          <w:rFonts w:ascii="楷体" w:hAnsi="楷体" w:eastAsia="楷体" w:cs="Times New Roman"/>
          <w:sz w:val="24"/>
        </w:rPr>
        <w:t>甲方未</w:t>
      </w:r>
      <w:r>
        <w:rPr>
          <w:rFonts w:ascii="楷体" w:hAnsi="楷体" w:eastAsia="楷体" w:cs="Times New Roman"/>
          <w:sz w:val="24"/>
          <w:szCs w:val="24"/>
        </w:rPr>
        <w:t>依照</w:t>
      </w:r>
      <w:r>
        <w:rPr>
          <w:rFonts w:ascii="楷体" w:hAnsi="楷体" w:eastAsia="楷体" w:cs="Times New Roman"/>
          <w:sz w:val="24"/>
        </w:rPr>
        <w:t>本合同约定</w:t>
      </w:r>
      <w:r>
        <w:rPr>
          <w:rFonts w:hint="eastAsia" w:ascii="楷体" w:hAnsi="楷体" w:eastAsia="楷体" w:cs="Times New Roman"/>
          <w:sz w:val="24"/>
        </w:rPr>
        <w:t>配合办理转让标的工商变更登记手续</w:t>
      </w:r>
      <w:r>
        <w:rPr>
          <w:rFonts w:ascii="楷体" w:hAnsi="楷体" w:eastAsia="楷体" w:cs="Times New Roman"/>
          <w:sz w:val="24"/>
        </w:rPr>
        <w:t>，</w:t>
      </w:r>
      <w:r>
        <w:rPr>
          <w:rFonts w:hint="eastAsia" w:ascii="楷体" w:hAnsi="楷体" w:eastAsia="楷体" w:cs="Times New Roman"/>
          <w:sz w:val="24"/>
        </w:rPr>
        <w:t>逾期超过180</w:t>
      </w:r>
      <w:r>
        <w:rPr>
          <w:rFonts w:ascii="楷体" w:hAnsi="楷体" w:eastAsia="楷体" w:cs="Times New Roman"/>
          <w:sz w:val="24"/>
        </w:rPr>
        <w:t>日</w:t>
      </w:r>
      <w:r>
        <w:rPr>
          <w:rFonts w:hint="eastAsia" w:ascii="楷体" w:hAnsi="楷体" w:eastAsia="楷体" w:cs="Times New Roman"/>
          <w:sz w:val="24"/>
        </w:rPr>
        <w:t>的</w:t>
      </w:r>
      <w:r>
        <w:rPr>
          <w:rFonts w:ascii="楷体" w:hAnsi="楷体" w:eastAsia="楷体" w:cs="Times New Roman"/>
          <w:sz w:val="24"/>
        </w:rPr>
        <w:t>，</w:t>
      </w:r>
      <w:r>
        <w:rPr>
          <w:rFonts w:hint="eastAsia" w:ascii="楷体" w:hAnsi="楷体" w:eastAsia="楷体" w:cs="Times New Roman"/>
          <w:sz w:val="24"/>
        </w:rPr>
        <w:t>从第181日起，</w:t>
      </w:r>
      <w:r>
        <w:rPr>
          <w:rFonts w:ascii="楷体" w:hAnsi="楷体" w:eastAsia="楷体" w:cs="Times New Roman"/>
          <w:sz w:val="24"/>
          <w:szCs w:val="24"/>
        </w:rPr>
        <w:t>甲方应当</w:t>
      </w:r>
      <w:r>
        <w:rPr>
          <w:rFonts w:hint="eastAsia" w:ascii="楷体" w:hAnsi="楷体" w:eastAsia="楷体" w:cs="Times New Roman"/>
          <w:sz w:val="24"/>
          <w:szCs w:val="24"/>
        </w:rPr>
        <w:t>以</w:t>
      </w:r>
      <w:r>
        <w:rPr>
          <w:rFonts w:ascii="楷体" w:hAnsi="楷体" w:eastAsia="楷体" w:cs="Times New Roman"/>
          <w:sz w:val="24"/>
          <w:szCs w:val="24"/>
        </w:rPr>
        <w:t>转让</w:t>
      </w:r>
      <w:r>
        <w:rPr>
          <w:rFonts w:ascii="楷体" w:hAnsi="楷体" w:eastAsia="楷体" w:cs="Times New Roman"/>
          <w:sz w:val="24"/>
        </w:rPr>
        <w:t>价款</w:t>
      </w:r>
      <w:r>
        <w:rPr>
          <w:rFonts w:hint="eastAsia" w:ascii="楷体" w:hAnsi="楷体" w:eastAsia="楷体" w:cs="Times New Roman"/>
          <w:sz w:val="24"/>
        </w:rPr>
        <w:t>为基数，按</w:t>
      </w:r>
      <w:r>
        <w:rPr>
          <w:rFonts w:hint="eastAsia" w:ascii="楷体" w:hAnsi="楷体" w:eastAsia="楷体" w:cs="Times New Roman"/>
          <w:sz w:val="24"/>
          <w:szCs w:val="24"/>
        </w:rPr>
        <w:t>同期LPR</w:t>
      </w:r>
      <w:r>
        <w:rPr>
          <w:rFonts w:hint="eastAsia" w:ascii="楷体" w:hAnsi="楷体" w:eastAsia="楷体" w:cs="Times New Roman"/>
          <w:sz w:val="24"/>
          <w:szCs w:val="24"/>
          <w:lang w:val="en-US" w:eastAsia="zh-CN"/>
        </w:rPr>
        <w:t>的</w:t>
      </w:r>
      <w:r>
        <w:rPr>
          <w:rFonts w:hint="eastAsia" w:ascii="楷体" w:hAnsi="楷体" w:eastAsia="楷体" w:cs="Times New Roman"/>
          <w:sz w:val="24"/>
          <w:szCs w:val="24"/>
        </w:rPr>
        <w:t xml:space="preserve"> 3倍</w:t>
      </w:r>
      <w:r>
        <w:rPr>
          <w:rFonts w:ascii="楷体" w:hAnsi="楷体" w:eastAsia="楷体" w:cs="Times New Roman"/>
          <w:sz w:val="24"/>
          <w:szCs w:val="24"/>
        </w:rPr>
        <w:t>标准，按日</w:t>
      </w:r>
      <w:r>
        <w:rPr>
          <w:rFonts w:ascii="楷体" w:hAnsi="楷体" w:eastAsia="楷体" w:cs="Times New Roman"/>
          <w:sz w:val="24"/>
        </w:rPr>
        <w:t>向乙方支付违约金</w:t>
      </w:r>
      <w:r>
        <w:rPr>
          <w:rFonts w:hint="eastAsia" w:ascii="楷体" w:hAnsi="楷体" w:eastAsia="楷体" w:cs="Times New Roman"/>
          <w:sz w:val="24"/>
        </w:rPr>
        <w:t>；</w:t>
      </w:r>
      <w:r>
        <w:rPr>
          <w:rFonts w:ascii="楷体" w:hAnsi="楷体" w:eastAsia="楷体" w:cs="Times New Roman"/>
          <w:sz w:val="24"/>
        </w:rPr>
        <w:t>逾期超过</w:t>
      </w:r>
      <w:r>
        <w:rPr>
          <w:rFonts w:hint="eastAsia" w:ascii="楷体" w:hAnsi="楷体" w:eastAsia="楷体" w:cs="Times New Roman"/>
          <w:sz w:val="24"/>
          <w:szCs w:val="24"/>
        </w:rPr>
        <w:t>360</w:t>
      </w:r>
      <w:r>
        <w:rPr>
          <w:rFonts w:ascii="楷体" w:hAnsi="楷体" w:eastAsia="楷体" w:cs="Times New Roman"/>
          <w:sz w:val="24"/>
        </w:rPr>
        <w:t>日的，乙方有权</w:t>
      </w:r>
      <w:r>
        <w:rPr>
          <w:rFonts w:ascii="楷体" w:hAnsi="楷体" w:eastAsia="楷体" w:cs="Times New Roman"/>
          <w:sz w:val="24"/>
          <w:szCs w:val="24"/>
        </w:rPr>
        <w:t>单方面</w:t>
      </w:r>
      <w:r>
        <w:rPr>
          <w:rFonts w:ascii="楷体" w:hAnsi="楷体" w:eastAsia="楷体" w:cs="Times New Roman"/>
          <w:sz w:val="24"/>
        </w:rPr>
        <w:t>解除</w:t>
      </w:r>
      <w:r>
        <w:rPr>
          <w:rFonts w:ascii="楷体" w:hAnsi="楷体" w:eastAsia="楷体" w:cs="Times New Roman"/>
          <w:sz w:val="24"/>
          <w:szCs w:val="24"/>
        </w:rPr>
        <w:t>本合同，甲方应向</w:t>
      </w:r>
      <w:r>
        <w:rPr>
          <w:rFonts w:ascii="楷体" w:hAnsi="楷体" w:eastAsia="楷体" w:cs="Times New Roman"/>
          <w:sz w:val="24"/>
        </w:rPr>
        <w:t>乙</w:t>
      </w:r>
      <w:r>
        <w:rPr>
          <w:rFonts w:hint="eastAsia" w:ascii="楷体" w:hAnsi="楷体" w:eastAsia="楷体" w:cs="Times New Roman"/>
          <w:sz w:val="24"/>
        </w:rPr>
        <w:t>支付等额于保证金金额的违约金</w:t>
      </w:r>
      <w:r>
        <w:rPr>
          <w:rFonts w:ascii="楷体" w:hAnsi="楷体" w:eastAsia="楷体" w:cs="Times New Roman"/>
          <w:sz w:val="24"/>
          <w:szCs w:val="24"/>
        </w:rPr>
        <w:t>。</w:t>
      </w:r>
    </w:p>
    <w:bookmarkEnd w:id="18"/>
    <w:bookmarkEnd w:id="19"/>
    <w:bookmarkEnd w:id="22"/>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rPr>
      </w:pPr>
      <w:bookmarkStart w:id="23" w:name="_Toc327559601"/>
      <w:bookmarkStart w:id="24" w:name="_Toc328494940"/>
      <w:r>
        <w:rPr>
          <w:rFonts w:ascii="楷体" w:hAnsi="楷体" w:eastAsia="楷体" w:cs="Times New Roman"/>
          <w:sz w:val="24"/>
        </w:rPr>
        <w:t>乙方</w:t>
      </w:r>
      <w:r>
        <w:rPr>
          <w:rFonts w:hint="eastAsia" w:ascii="楷体" w:hAnsi="楷体" w:eastAsia="楷体" w:cs="Times New Roman"/>
          <w:sz w:val="24"/>
        </w:rPr>
        <w:t>和目标公司的违约情形</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违反本合同任一约定、陈述和保证及任一义务</w:t>
      </w:r>
      <w:r>
        <w:rPr>
          <w:rFonts w:ascii="楷体" w:hAnsi="楷体" w:eastAsia="楷体" w:cs="Times New Roman"/>
          <w:bCs/>
          <w:sz w:val="24"/>
        </w:rPr>
        <w:t>(包括但不限于未按期、足额支付任一笔</w:t>
      </w:r>
      <w:r>
        <w:rPr>
          <w:rFonts w:hint="eastAsia" w:ascii="楷体" w:hAnsi="楷体" w:eastAsia="楷体" w:cs="Times New Roman"/>
          <w:bCs/>
          <w:sz w:val="24"/>
        </w:rPr>
        <w:t>转让价款、目标公司债务</w:t>
      </w:r>
      <w:r>
        <w:rPr>
          <w:rFonts w:ascii="楷体" w:hAnsi="楷体" w:eastAsia="楷体" w:cs="Times New Roman"/>
          <w:bCs/>
          <w:sz w:val="24"/>
        </w:rPr>
        <w:t>、违约金、补偿金</w:t>
      </w:r>
      <w:r>
        <w:rPr>
          <w:rFonts w:hint="eastAsia" w:ascii="楷体" w:hAnsi="楷体" w:eastAsia="楷体" w:cs="Times New Roman"/>
          <w:bCs/>
          <w:sz w:val="24"/>
        </w:rPr>
        <w:t>（若有）</w:t>
      </w:r>
      <w:r>
        <w:rPr>
          <w:rFonts w:ascii="楷体" w:hAnsi="楷体" w:eastAsia="楷体" w:cs="Times New Roman"/>
          <w:bCs/>
          <w:sz w:val="24"/>
        </w:rPr>
        <w:t>、及损失等)或违反任何法定义务或明确表示或以其行为表明将不履行交易文件或其单方向甲方出具的任何文件项下的任一义务、承诺、陈述或保证事项</w:t>
      </w:r>
      <w:r>
        <w:rPr>
          <w:rFonts w:hint="eastAsia" w:ascii="楷体" w:hAnsi="楷体" w:eastAsia="楷体" w:cs="Times New Roman"/>
          <w:bCs/>
          <w:sz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发生其他生效法律文件项下的违约行为</w:t>
      </w:r>
      <w:r>
        <w:rPr>
          <w:rFonts w:ascii="楷体" w:hAnsi="楷体" w:eastAsia="楷体" w:cs="Times New Roman"/>
          <w:bCs/>
          <w:sz w:val="24"/>
        </w:rPr>
        <w:t>,且对某笔债务发生违约行为并导致</w:t>
      </w:r>
      <w:r>
        <w:rPr>
          <w:rFonts w:hint="eastAsia" w:ascii="楷体" w:hAnsi="楷体" w:eastAsia="楷体" w:cs="Times New Roman"/>
          <w:bCs/>
          <w:sz w:val="24"/>
        </w:rPr>
        <w:t>担保财产或</w:t>
      </w:r>
      <w:r>
        <w:rPr>
          <w:rFonts w:ascii="楷体" w:hAnsi="楷体" w:eastAsia="楷体" w:cs="Times New Roman"/>
          <w:bCs/>
          <w:sz w:val="24"/>
        </w:rPr>
        <w:t>针对</w:t>
      </w:r>
      <w:r>
        <w:rPr>
          <w:rFonts w:hint="eastAsia" w:ascii="楷体" w:hAnsi="楷体" w:eastAsia="楷体" w:cs="Times New Roman"/>
          <w:bCs/>
          <w:sz w:val="24"/>
        </w:rPr>
        <w:t>目标公司</w:t>
      </w:r>
      <w:r>
        <w:rPr>
          <w:rFonts w:ascii="楷体" w:hAnsi="楷体" w:eastAsia="楷体" w:cs="Times New Roman"/>
          <w:bCs/>
          <w:sz w:val="24"/>
        </w:rPr>
        <w:t>任何资产</w:t>
      </w:r>
      <w:r>
        <w:rPr>
          <w:rFonts w:hint="eastAsia" w:ascii="楷体" w:hAnsi="楷体" w:eastAsia="楷体" w:cs="Times New Roman"/>
          <w:bCs/>
          <w:sz w:val="24"/>
        </w:rPr>
        <w:t>的裁决或判决被强制执行等；</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未经甲方书面同意，乙方或目标公司出售、转让、转移、抵押或以其他方式处分目标项目</w:t>
      </w:r>
      <w:r>
        <w:rPr>
          <w:rFonts w:ascii="楷体" w:hAnsi="楷体" w:eastAsia="楷体" w:cs="Times New Roman"/>
          <w:bCs/>
          <w:sz w:val="24"/>
        </w:rPr>
        <w:t>(包括目标地块的土地使用权，</w:t>
      </w:r>
      <w:r>
        <w:rPr>
          <w:rFonts w:hint="eastAsia" w:ascii="楷体" w:hAnsi="楷体" w:eastAsia="楷体" w:cs="Times New Roman"/>
          <w:bCs/>
          <w:sz w:val="24"/>
        </w:rPr>
        <w:t>目标公司</w:t>
      </w:r>
      <w:r>
        <w:rPr>
          <w:rFonts w:ascii="楷体" w:hAnsi="楷体" w:eastAsia="楷体" w:cs="Times New Roman"/>
          <w:bCs/>
          <w:sz w:val="24"/>
        </w:rPr>
        <w:t>正常销售目标项目相关</w:t>
      </w:r>
      <w:r>
        <w:rPr>
          <w:rFonts w:hint="eastAsia" w:ascii="楷体" w:hAnsi="楷体" w:eastAsia="楷体" w:cs="Times New Roman"/>
          <w:bCs/>
          <w:sz w:val="24"/>
        </w:rPr>
        <w:t>物业的情形除外</w:t>
      </w:r>
      <w:r>
        <w:rPr>
          <w:rFonts w:ascii="楷体" w:hAnsi="楷体" w:eastAsia="楷体" w:cs="Times New Roman"/>
          <w:bCs/>
          <w:sz w:val="24"/>
        </w:rPr>
        <w:t>)或其其他资产的</w:t>
      </w:r>
      <w:r>
        <w:rPr>
          <w:rFonts w:hint="eastAsia" w:ascii="楷体" w:hAnsi="楷体" w:eastAsia="楷体" w:cs="Times New Roman"/>
          <w:bCs/>
          <w:sz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担保财产出现以下情形之一，</w:t>
      </w:r>
      <w:r>
        <w:rPr>
          <w:rFonts w:ascii="楷体" w:hAnsi="楷体" w:eastAsia="楷体" w:cs="Times New Roman"/>
          <w:bCs/>
          <w:sz w:val="24"/>
        </w:rPr>
        <w:t>甲方认为可</w:t>
      </w:r>
      <w:r>
        <w:rPr>
          <w:rFonts w:hint="eastAsia" w:ascii="楷体" w:hAnsi="楷体" w:eastAsia="楷体" w:cs="Times New Roman"/>
          <w:bCs/>
          <w:sz w:val="24"/>
        </w:rPr>
        <w:t>能危及其在本合同项下债权安全的：（1）担保</w:t>
      </w:r>
      <w:r>
        <w:rPr>
          <w:rFonts w:ascii="楷体" w:hAnsi="楷体" w:eastAsia="楷体" w:cs="Times New Roman"/>
          <w:bCs/>
          <w:sz w:val="24"/>
        </w:rPr>
        <w:t>财产毁损、</w:t>
      </w:r>
      <w:r>
        <w:rPr>
          <w:rFonts w:hint="eastAsia" w:ascii="楷体" w:hAnsi="楷体" w:eastAsia="楷体" w:cs="Times New Roman"/>
          <w:bCs/>
          <w:sz w:val="24"/>
        </w:rPr>
        <w:t>灭失、价值明显减少；（2）担保</w:t>
      </w:r>
      <w:r>
        <w:rPr>
          <w:rFonts w:ascii="楷体" w:hAnsi="楷体" w:eastAsia="楷体" w:cs="Times New Roman"/>
          <w:bCs/>
          <w:sz w:val="24"/>
        </w:rPr>
        <w:t>财产被查封、扣押、冻结、</w:t>
      </w:r>
      <w:r>
        <w:rPr>
          <w:rFonts w:hint="eastAsia" w:ascii="楷体" w:hAnsi="楷体" w:eastAsia="楷体" w:cs="Times New Roman"/>
          <w:bCs/>
          <w:sz w:val="24"/>
        </w:rPr>
        <w:t>扣划、拍卖、行政机关监管，或者权属发生争议；（3）乙方或目标公司</w:t>
      </w:r>
      <w:r>
        <w:rPr>
          <w:rFonts w:ascii="楷体" w:hAnsi="楷体" w:eastAsia="楷体" w:cs="Times New Roman"/>
          <w:bCs/>
          <w:sz w:val="24"/>
        </w:rPr>
        <w:t>严重违反</w:t>
      </w:r>
      <w:r>
        <w:rPr>
          <w:rFonts w:hint="eastAsia" w:ascii="楷体" w:hAnsi="楷体" w:eastAsia="楷体" w:cs="Times New Roman"/>
          <w:bCs/>
          <w:sz w:val="24"/>
        </w:rPr>
        <w:t>担保合同的任一约定或陈述与保证的事项存在任何虚假、错误、遗漏；（4）</w:t>
      </w:r>
      <w:r>
        <w:rPr>
          <w:rFonts w:ascii="楷体" w:hAnsi="楷体" w:eastAsia="楷体" w:cs="Times New Roman"/>
          <w:bCs/>
          <w:sz w:val="24"/>
        </w:rPr>
        <w:t>可能危及甲方</w:t>
      </w:r>
      <w:r>
        <w:rPr>
          <w:rFonts w:hint="eastAsia" w:ascii="楷体" w:hAnsi="楷体" w:eastAsia="楷体" w:cs="Times New Roman"/>
          <w:bCs/>
          <w:sz w:val="24"/>
        </w:rPr>
        <w:t>担保</w:t>
      </w:r>
      <w:r>
        <w:rPr>
          <w:rFonts w:ascii="楷体" w:hAnsi="楷体" w:eastAsia="楷体" w:cs="Times New Roman"/>
          <w:bCs/>
          <w:sz w:val="24"/>
        </w:rPr>
        <w:t>权</w:t>
      </w:r>
      <w:r>
        <w:rPr>
          <w:rFonts w:hint="eastAsia" w:ascii="楷体" w:hAnsi="楷体" w:eastAsia="楷体" w:cs="Times New Roman"/>
          <w:bCs/>
          <w:sz w:val="24"/>
        </w:rPr>
        <w:t>实现</w:t>
      </w:r>
      <w:r>
        <w:rPr>
          <w:rFonts w:ascii="楷体" w:hAnsi="楷体" w:eastAsia="楷体" w:cs="Times New Roman"/>
          <w:bCs/>
          <w:sz w:val="24"/>
        </w:rPr>
        <w:t>的其他情形</w:t>
      </w:r>
      <w:r>
        <w:rPr>
          <w:rFonts w:hint="eastAsia" w:ascii="楷体" w:hAnsi="楷体" w:eastAsia="楷体" w:cs="Times New Roman"/>
          <w:bCs/>
          <w:sz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目标公司经营和财务状况恶化，无法清偿到期债务或者发生预期违约，或涉及或即将涉及重大的诉讼或仲裁及其他法律纠纷，</w:t>
      </w:r>
      <w:r>
        <w:rPr>
          <w:rFonts w:ascii="楷体" w:hAnsi="楷体" w:eastAsia="楷体" w:cs="Times New Roman"/>
          <w:bCs/>
          <w:sz w:val="24"/>
        </w:rPr>
        <w:t>可能或已经影响或损害甲方在本合同项下权益</w:t>
      </w:r>
      <w:r>
        <w:rPr>
          <w:rFonts w:hint="eastAsia" w:ascii="楷体" w:hAnsi="楷体" w:eastAsia="楷体" w:cs="Times New Roman"/>
          <w:bCs/>
          <w:sz w:val="24"/>
        </w:rPr>
        <w:t>；乙方或目标公司</w:t>
      </w:r>
      <w:r>
        <w:rPr>
          <w:rFonts w:ascii="楷体" w:hAnsi="楷体" w:eastAsia="楷体" w:cs="Times New Roman"/>
          <w:bCs/>
          <w:sz w:val="24"/>
        </w:rPr>
        <w:t>被监管部门要求整改、受到重大监管处罚、经营活动受到严重影响或被认为出现刑事犯罪行为的，或出现其他违反中国法律的行为的</w:t>
      </w:r>
      <w:r>
        <w:rPr>
          <w:rFonts w:hint="eastAsia" w:ascii="楷体" w:hAnsi="楷体" w:eastAsia="楷体" w:cs="Times New Roman"/>
          <w:bCs/>
          <w:sz w:val="24"/>
        </w:rPr>
        <w:t>；</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Cs/>
          <w:sz w:val="24"/>
        </w:rPr>
      </w:pPr>
      <w:r>
        <w:rPr>
          <w:rFonts w:hint="eastAsia" w:ascii="楷体" w:hAnsi="楷体" w:eastAsia="楷体" w:cs="Times New Roman"/>
          <w:bCs/>
          <w:sz w:val="24"/>
        </w:rPr>
        <w:t>乙方和目标公司的违约救济措施</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在发生本合同上述的一项或多项违约情况时，或出现可能危及甲方债权安全情形的，甲方有权单独或一并行使下述权利：</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bCs/>
          <w:sz w:val="24"/>
        </w:rPr>
      </w:pPr>
      <w:r>
        <w:rPr>
          <w:rFonts w:ascii="楷体" w:hAnsi="楷体" w:eastAsia="楷体" w:cs="Times New Roman"/>
          <w:bCs/>
          <w:sz w:val="24"/>
        </w:rPr>
        <w:t>有权要求乙方</w:t>
      </w:r>
      <w:r>
        <w:rPr>
          <w:rFonts w:hint="eastAsia" w:ascii="楷体" w:hAnsi="楷体" w:eastAsia="楷体" w:cs="Times New Roman"/>
          <w:bCs/>
          <w:sz w:val="24"/>
        </w:rPr>
        <w:t>和目标公司</w:t>
      </w:r>
      <w:r>
        <w:rPr>
          <w:rFonts w:ascii="楷体" w:hAnsi="楷体" w:eastAsia="楷体" w:cs="Times New Roman"/>
          <w:bCs/>
          <w:sz w:val="24"/>
        </w:rPr>
        <w:t>限期纠正违约行为并采取甲方认可的补救措施以消除相</w:t>
      </w:r>
      <w:r>
        <w:rPr>
          <w:rFonts w:hint="eastAsia" w:ascii="楷体" w:hAnsi="楷体" w:eastAsia="楷体" w:cs="Times New Roman"/>
          <w:bCs/>
          <w:sz w:val="24"/>
        </w:rPr>
        <w:t>关违约情形，并要求乙方和目标公司按照自违约情形发生之日</w:t>
      </w:r>
      <w:r>
        <w:rPr>
          <w:rFonts w:ascii="楷体" w:hAnsi="楷体" w:eastAsia="楷体" w:cs="Times New Roman"/>
          <w:bCs/>
          <w:sz w:val="24"/>
        </w:rPr>
        <w:t>(含)起至违约情形</w:t>
      </w:r>
      <w:r>
        <w:rPr>
          <w:rFonts w:hint="eastAsia" w:ascii="楷体" w:hAnsi="楷体" w:eastAsia="楷体" w:cs="Times New Roman"/>
          <w:bCs/>
          <w:sz w:val="24"/>
        </w:rPr>
        <w:t>消除之日或目标公司债务清偿之日</w:t>
      </w:r>
      <w:r>
        <w:rPr>
          <w:rFonts w:ascii="楷体" w:hAnsi="楷体" w:eastAsia="楷体" w:cs="Times New Roman"/>
          <w:bCs/>
          <w:sz w:val="24"/>
        </w:rPr>
        <w:t>(不含，以二者中较早之日为准)止</w:t>
      </w:r>
      <w:r>
        <w:rPr>
          <w:rFonts w:hint="eastAsia" w:ascii="楷体" w:hAnsi="楷体" w:eastAsia="楷体" w:cs="Times New Roman"/>
          <w:bCs/>
          <w:sz w:val="24"/>
        </w:rPr>
        <w:t>以目标公司债务余额与转让价款</w:t>
      </w:r>
      <w:r>
        <w:rPr>
          <w:rFonts w:ascii="楷体" w:hAnsi="楷体" w:eastAsia="楷体" w:cs="Times New Roman"/>
          <w:bCs/>
          <w:sz w:val="24"/>
        </w:rPr>
        <w:t>之和</w:t>
      </w:r>
      <w:r>
        <w:rPr>
          <w:rFonts w:hint="eastAsia" w:ascii="楷体" w:hAnsi="楷体" w:eastAsia="楷体" w:cs="Times New Roman"/>
          <w:bCs/>
          <w:sz w:val="24"/>
        </w:rPr>
        <w:t>为基数，按同</w:t>
      </w:r>
      <w:r>
        <w:rPr>
          <w:rFonts w:hint="eastAsia" w:ascii="楷体" w:hAnsi="楷体" w:eastAsia="楷体" w:cs="Times New Roman"/>
          <w:sz w:val="24"/>
          <w:szCs w:val="24"/>
        </w:rPr>
        <w:t>期LPR 3倍</w:t>
      </w:r>
      <w:r>
        <w:rPr>
          <w:rFonts w:ascii="楷体" w:hAnsi="楷体" w:eastAsia="楷体" w:cs="Times New Roman"/>
          <w:sz w:val="24"/>
        </w:rPr>
        <w:t>的</w:t>
      </w:r>
      <w:r>
        <w:rPr>
          <w:rFonts w:ascii="楷体" w:hAnsi="楷体" w:eastAsia="楷体" w:cs="Times New Roman"/>
          <w:sz w:val="24"/>
          <w:szCs w:val="24"/>
        </w:rPr>
        <w:t>标准</w:t>
      </w:r>
      <w:r>
        <w:rPr>
          <w:rFonts w:hint="eastAsia" w:ascii="楷体" w:hAnsi="楷体" w:eastAsia="楷体" w:cs="Times New Roman"/>
          <w:bCs/>
          <w:sz w:val="24"/>
        </w:rPr>
        <w:t>按日向</w:t>
      </w:r>
      <w:r>
        <w:rPr>
          <w:rFonts w:ascii="楷体" w:hAnsi="楷体" w:eastAsia="楷体" w:cs="Times New Roman"/>
          <w:bCs/>
          <w:sz w:val="24"/>
        </w:rPr>
        <w:t>甲方支付违约金，前述违约情形的消除</w:t>
      </w:r>
      <w:r>
        <w:rPr>
          <w:rFonts w:hint="eastAsia" w:ascii="楷体" w:hAnsi="楷体" w:eastAsia="楷体" w:cs="Times New Roman"/>
          <w:bCs/>
          <w:sz w:val="24"/>
        </w:rPr>
        <w:t>需得到甲方的确认；</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bCs/>
          <w:sz w:val="24"/>
        </w:rPr>
      </w:pPr>
      <w:r>
        <w:rPr>
          <w:rFonts w:ascii="楷体" w:hAnsi="楷体" w:eastAsia="楷体" w:cs="Times New Roman"/>
          <w:bCs/>
          <w:sz w:val="24"/>
        </w:rPr>
        <w:t>甲方有权自行宣布</w:t>
      </w:r>
      <w:r>
        <w:rPr>
          <w:rFonts w:hint="eastAsia" w:ascii="楷体" w:hAnsi="楷体" w:eastAsia="楷体" w:cs="Times New Roman"/>
          <w:bCs/>
          <w:sz w:val="24"/>
        </w:rPr>
        <w:t>目标公司债务</w:t>
      </w:r>
      <w:r>
        <w:rPr>
          <w:rFonts w:ascii="楷体" w:hAnsi="楷体" w:eastAsia="楷体" w:cs="Times New Roman"/>
          <w:bCs/>
          <w:sz w:val="24"/>
        </w:rPr>
        <w:t>全部加速到期。</w:t>
      </w:r>
      <w:r>
        <w:rPr>
          <w:rFonts w:hint="eastAsia" w:ascii="楷体" w:hAnsi="楷体" w:eastAsia="楷体" w:cs="Times New Roman"/>
          <w:bCs/>
          <w:sz w:val="24"/>
        </w:rPr>
        <w:t>乙方和</w:t>
      </w:r>
      <w:r>
        <w:rPr>
          <w:rFonts w:ascii="楷体" w:hAnsi="楷体" w:eastAsia="楷体" w:cs="Times New Roman"/>
          <w:bCs/>
          <w:sz w:val="24"/>
        </w:rPr>
        <w:t>目标公司应在甲方发出的</w:t>
      </w:r>
      <w:r>
        <w:rPr>
          <w:rFonts w:hint="eastAsia" w:ascii="楷体" w:hAnsi="楷体" w:eastAsia="楷体" w:cs="Times New Roman"/>
          <w:bCs/>
          <w:sz w:val="24"/>
        </w:rPr>
        <w:t>书面加速到期通知载明的加速到期日一次性向甲方清偿全部目标公司债务。</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bCs/>
          <w:sz w:val="24"/>
        </w:rPr>
      </w:pPr>
      <w:r>
        <w:rPr>
          <w:rFonts w:hint="eastAsia" w:ascii="楷体" w:hAnsi="楷体" w:eastAsia="楷体" w:cs="Times New Roman"/>
          <w:bCs/>
          <w:sz w:val="24"/>
        </w:rPr>
        <w:t>解除本合同而不用承担任何责任，且不予退还乙方已支付的全部款项，并由乙方按零对价将目标公司股权转移登记至甲方名下（若需），并由乙方承担全部税、费。同时乙方按照转让价款和目标公司债务之和的20%向甲方支付违约金。</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bCs/>
          <w:sz w:val="24"/>
        </w:rPr>
      </w:pPr>
      <w:r>
        <w:rPr>
          <w:rFonts w:hint="eastAsia" w:ascii="楷体" w:hAnsi="楷体" w:eastAsia="楷体" w:cs="Times New Roman"/>
          <w:bCs/>
          <w:sz w:val="24"/>
        </w:rPr>
        <w:t>若乙方或目标公司违反本合同约定造成甲方损失的</w:t>
      </w:r>
      <w:r>
        <w:rPr>
          <w:rFonts w:ascii="楷体" w:hAnsi="楷体" w:eastAsia="楷体" w:cs="Times New Roman"/>
          <w:bCs/>
          <w:sz w:val="24"/>
        </w:rPr>
        <w:t>,甲方采取本条其他措施不足以</w:t>
      </w:r>
      <w:r>
        <w:rPr>
          <w:rFonts w:hint="eastAsia" w:ascii="楷体" w:hAnsi="楷体" w:eastAsia="楷体" w:cs="Times New Roman"/>
          <w:bCs/>
          <w:sz w:val="24"/>
        </w:rPr>
        <w:t>赔偿甲方全部损失（</w:t>
      </w:r>
      <w:r>
        <w:rPr>
          <w:rFonts w:ascii="楷体" w:hAnsi="楷体" w:eastAsia="楷体" w:cs="Times New Roman"/>
          <w:bCs/>
          <w:sz w:val="24"/>
        </w:rPr>
        <w:t>包括但不限于全部</w:t>
      </w:r>
      <w:r>
        <w:rPr>
          <w:rFonts w:hint="eastAsia" w:ascii="楷体" w:hAnsi="楷体" w:eastAsia="楷体" w:cs="Times New Roman"/>
          <w:bCs/>
          <w:sz w:val="24"/>
        </w:rPr>
        <w:t>目标公司债务</w:t>
      </w:r>
      <w:r>
        <w:rPr>
          <w:rFonts w:ascii="楷体" w:hAnsi="楷体" w:eastAsia="楷体" w:cs="Times New Roman"/>
          <w:bCs/>
          <w:sz w:val="24"/>
        </w:rPr>
        <w:t>、违约金</w:t>
      </w:r>
      <w:r>
        <w:rPr>
          <w:rFonts w:hint="eastAsia" w:ascii="楷体" w:hAnsi="楷体" w:eastAsia="楷体" w:cs="Times New Roman"/>
          <w:bCs/>
          <w:sz w:val="24"/>
        </w:rPr>
        <w:t>、甲方行使主债权以及附属权利发生的费用）</w:t>
      </w:r>
      <w:r>
        <w:rPr>
          <w:rFonts w:ascii="楷体" w:hAnsi="楷体" w:eastAsia="楷体" w:cs="Times New Roman"/>
          <w:bCs/>
          <w:sz w:val="24"/>
        </w:rPr>
        <w:t>的，甲方</w:t>
      </w:r>
      <w:r>
        <w:rPr>
          <w:rFonts w:hint="eastAsia" w:ascii="楷体" w:hAnsi="楷体" w:eastAsia="楷体" w:cs="Times New Roman"/>
          <w:bCs/>
          <w:sz w:val="24"/>
        </w:rPr>
        <w:t>还有权就其他损失额继续向乙方或/和目标公司索赔，乙方或/和目标公司应当继续赔偿甲方的损失；</w:t>
      </w:r>
    </w:p>
    <w:p>
      <w:pPr>
        <w:numPr>
          <w:ilvl w:val="3"/>
          <w:numId w:val="1"/>
        </w:numPr>
        <w:tabs>
          <w:tab w:val="left" w:pos="1652"/>
        </w:tabs>
        <w:adjustRightInd w:val="0"/>
        <w:snapToGrid w:val="0"/>
        <w:spacing w:before="156" w:beforeLines="50" w:after="156" w:afterLines="50" w:line="400" w:lineRule="exact"/>
        <w:ind w:left="2552" w:hanging="851"/>
        <w:rPr>
          <w:rFonts w:ascii="楷体" w:hAnsi="楷体" w:eastAsia="楷体" w:cs="Times New Roman"/>
          <w:bCs/>
          <w:sz w:val="24"/>
        </w:rPr>
      </w:pPr>
      <w:r>
        <w:rPr>
          <w:rFonts w:ascii="楷体" w:hAnsi="楷体" w:eastAsia="楷体" w:cs="Times New Roman"/>
          <w:bCs/>
          <w:sz w:val="24"/>
        </w:rPr>
        <w:t>其他任何维护甲方在本合同项下权益的合法措施。</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Cs/>
          <w:sz w:val="24"/>
        </w:rPr>
      </w:pPr>
      <w:r>
        <w:rPr>
          <w:rFonts w:hint="eastAsia" w:ascii="楷体" w:hAnsi="楷体" w:eastAsia="楷体" w:cs="Times New Roman"/>
          <w:bCs/>
          <w:sz w:val="24"/>
        </w:rPr>
        <w:t>各方确认，本合同确定的各项违约金标准系各方基于本合同项下交易的风险、责任、商业利益等因素综合协商确定，在争议发生后，任一方均不得以任何理由、援引任何法律、法规、司法解释向人民法院提出违约金调减的请求。</w:t>
      </w:r>
    </w:p>
    <w:bookmarkEnd w:id="23"/>
    <w:bookmarkEnd w:id="24"/>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25" w:name="_Toc358275087"/>
      <w:bookmarkStart w:id="26" w:name="_Toc161334844"/>
      <w:bookmarkStart w:id="27" w:name="_Toc328494943"/>
      <w:r>
        <w:rPr>
          <w:rFonts w:ascii="楷体" w:hAnsi="楷体" w:eastAsia="楷体" w:cs="Times New Roman"/>
          <w:b/>
          <w:sz w:val="24"/>
          <w:szCs w:val="24"/>
        </w:rPr>
        <w:t>通知</w:t>
      </w:r>
      <w:bookmarkEnd w:id="20"/>
      <w:bookmarkEnd w:id="25"/>
      <w:bookmarkEnd w:id="26"/>
      <w:bookmarkEnd w:id="27"/>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sz w:val="24"/>
        </w:rPr>
      </w:pPr>
      <w:r>
        <w:rPr>
          <w:rFonts w:ascii="楷体" w:hAnsi="楷体" w:eastAsia="楷体" w:cs="Times New Roman"/>
          <w:sz w:val="24"/>
        </w:rPr>
        <w:t>本合同</w:t>
      </w:r>
      <w:r>
        <w:rPr>
          <w:rFonts w:hint="eastAsia" w:ascii="楷体" w:hAnsi="楷体" w:eastAsia="楷体" w:cs="Times New Roman"/>
          <w:sz w:val="24"/>
        </w:rPr>
        <w:t>约定</w:t>
      </w:r>
      <w:r>
        <w:rPr>
          <w:rFonts w:ascii="楷体" w:hAnsi="楷体" w:eastAsia="楷体" w:cs="Times New Roman"/>
          <w:sz w:val="24"/>
        </w:rPr>
        <w:t>的</w:t>
      </w:r>
      <w:r>
        <w:rPr>
          <w:rFonts w:ascii="楷体" w:hAnsi="楷体" w:eastAsia="楷体" w:cs="Times New Roman"/>
          <w:kern w:val="0"/>
          <w:sz w:val="24"/>
          <w:szCs w:val="24"/>
        </w:rPr>
        <w:t>通知</w:t>
      </w:r>
      <w:bookmarkStart w:id="28" w:name="_Ref186027797"/>
      <w:r>
        <w:rPr>
          <w:rFonts w:ascii="楷体" w:hAnsi="楷体" w:eastAsia="楷体" w:cs="Times New Roman"/>
          <w:sz w:val="24"/>
        </w:rPr>
        <w:t>均应以中文的书面形式</w:t>
      </w:r>
      <w:bookmarkEnd w:id="28"/>
      <w:r>
        <w:rPr>
          <w:rFonts w:ascii="楷体" w:hAnsi="楷体" w:eastAsia="楷体" w:cs="Times New Roman"/>
          <w:sz w:val="24"/>
        </w:rPr>
        <w:t>作出。</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sz w:val="24"/>
        </w:rPr>
      </w:pPr>
      <w:r>
        <w:rPr>
          <w:rFonts w:ascii="楷体" w:hAnsi="楷体" w:eastAsia="楷体" w:cs="Times New Roman"/>
          <w:sz w:val="24"/>
        </w:rPr>
        <w:t>各方均应按下列地址向其他方发送书面通知。任何一方改变通讯地址及</w:t>
      </w:r>
      <w:r>
        <w:rPr>
          <w:rFonts w:ascii="楷体" w:hAnsi="楷体" w:eastAsia="楷体" w:cs="Times New Roman"/>
          <w:bCs/>
          <w:sz w:val="24"/>
        </w:rPr>
        <w:t>通讯</w:t>
      </w:r>
      <w:r>
        <w:rPr>
          <w:rFonts w:ascii="楷体" w:hAnsi="楷体" w:eastAsia="楷体" w:cs="Times New Roman"/>
          <w:sz w:val="24"/>
        </w:rPr>
        <w:t>方式，应在改变前三（3）个工作日之前通知对方。如未接到对方的改变通知，则发往下列地址的通知在下款规定的时间后即应视为已送达。</w:t>
      </w:r>
    </w:p>
    <w:p>
      <w:pPr>
        <w:tabs>
          <w:tab w:val="left" w:pos="1442"/>
        </w:tabs>
        <w:adjustRightInd w:val="0"/>
        <w:snapToGrid w:val="0"/>
        <w:spacing w:before="156" w:beforeLines="50" w:after="156" w:afterLines="50" w:line="400" w:lineRule="exact"/>
        <w:ind w:left="737"/>
        <w:rPr>
          <w:rFonts w:ascii="楷体" w:hAnsi="楷体" w:eastAsia="楷体" w:cs="Times New Roman"/>
          <w:sz w:val="24"/>
        </w:rPr>
      </w:pPr>
      <w:r>
        <w:rPr>
          <w:rFonts w:ascii="楷体" w:hAnsi="楷体" w:eastAsia="楷体" w:cs="Times New Roman"/>
          <w:sz w:val="24"/>
        </w:rPr>
        <w:t>甲方</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通讯地址：【】</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邮政编码：【】</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联系电话：【】</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收 件 人：【】</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lang w:val="en-GB"/>
        </w:rPr>
        <w:t>乙方</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通讯地址：【】</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邮政编码：【】</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联系电话：【】</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lang w:val="en-GB"/>
        </w:rPr>
        <w:t>目标公司</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通讯地址：【】</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邮政编码：【】</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联系电话：【】</w:t>
      </w:r>
    </w:p>
    <w:p>
      <w:pPr>
        <w:tabs>
          <w:tab w:val="left" w:pos="-993"/>
        </w:tabs>
        <w:spacing w:before="156" w:beforeLines="50" w:after="156" w:afterLines="50" w:line="400" w:lineRule="exact"/>
        <w:ind w:firstLine="741" w:firstLineChars="309"/>
        <w:rPr>
          <w:rFonts w:ascii="楷体" w:hAnsi="楷体" w:eastAsia="楷体" w:cs="Times New Roman"/>
          <w:sz w:val="24"/>
        </w:rPr>
      </w:pPr>
      <w:r>
        <w:rPr>
          <w:rFonts w:ascii="楷体" w:hAnsi="楷体" w:eastAsia="楷体" w:cs="Times New Roman"/>
          <w:sz w:val="24"/>
        </w:rPr>
        <w:t>收 件 人：【】</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szCs w:val="24"/>
        </w:rPr>
      </w:pPr>
      <w:r>
        <w:rPr>
          <w:rFonts w:ascii="楷体" w:hAnsi="楷体" w:eastAsia="楷体" w:cs="Times New Roman"/>
          <w:sz w:val="24"/>
        </w:rPr>
        <w:t>通知以专人手递方式送达的，则以收件人接收通知时为送达时间；以邮寄方式送达的，则以寄出后第五（5）个</w:t>
      </w:r>
      <w:r>
        <w:rPr>
          <w:rFonts w:ascii="楷体" w:hAnsi="楷体" w:eastAsia="楷体" w:cs="Times New Roman"/>
          <w:kern w:val="0"/>
          <w:sz w:val="24"/>
          <w:szCs w:val="24"/>
        </w:rPr>
        <w:t>工作日</w:t>
      </w:r>
      <w:r>
        <w:rPr>
          <w:rFonts w:ascii="楷体" w:hAnsi="楷体" w:eastAsia="楷体" w:cs="Times New Roman"/>
          <w:sz w:val="24"/>
        </w:rPr>
        <w:t>为送达时间。接收方拒绝接收的，视为已经送达，并以邮寄或递送回执单上</w:t>
      </w:r>
      <w:r>
        <w:rPr>
          <w:rFonts w:ascii="楷体" w:hAnsi="楷体" w:eastAsia="楷体" w:cs="Times New Roman"/>
          <w:kern w:val="0"/>
          <w:sz w:val="24"/>
        </w:rPr>
        <w:t>注明的</w:t>
      </w:r>
      <w:r>
        <w:rPr>
          <w:rFonts w:ascii="楷体" w:hAnsi="楷体" w:eastAsia="楷体" w:cs="Times New Roman"/>
          <w:kern w:val="0"/>
          <w:sz w:val="24"/>
          <w:szCs w:val="24"/>
        </w:rPr>
        <w:t>拒绝</w:t>
      </w:r>
      <w:r>
        <w:rPr>
          <w:rFonts w:ascii="楷体" w:hAnsi="楷体" w:eastAsia="楷体" w:cs="Times New Roman"/>
          <w:sz w:val="24"/>
        </w:rPr>
        <w:t>接收日期为送达日。</w:t>
      </w:r>
    </w:p>
    <w:p>
      <w:pPr>
        <w:numPr>
          <w:ilvl w:val="1"/>
          <w:numId w:val="1"/>
        </w:numPr>
        <w:tabs>
          <w:tab w:val="left" w:pos="1442"/>
        </w:tabs>
        <w:adjustRightInd w:val="0"/>
        <w:snapToGrid w:val="0"/>
        <w:spacing w:before="156" w:beforeLines="50" w:after="156" w:afterLines="50" w:line="400" w:lineRule="exact"/>
        <w:rPr>
          <w:rFonts w:ascii="楷体" w:hAnsi="楷体" w:eastAsia="楷体" w:cs="Times New Roman"/>
          <w:bCs/>
          <w:sz w:val="24"/>
          <w:szCs w:val="24"/>
        </w:rPr>
      </w:pPr>
      <w:r>
        <w:rPr>
          <w:rFonts w:hint="eastAsia" w:ascii="楷体" w:hAnsi="楷体" w:eastAsia="楷体" w:cs="Times New Roman"/>
          <w:bCs/>
          <w:sz w:val="24"/>
          <w:szCs w:val="24"/>
        </w:rPr>
        <w:t>该送达地址适用范围包括各方非诉时各类通知、协议等文件以及就合同发生纠纷时相关文件和法律文书的送达，同时包括在争议进入仲裁或诉讼程序时法院或仲裁送达地址。</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29" w:name="_Toc328494944"/>
      <w:bookmarkStart w:id="30" w:name="_Toc161334845"/>
      <w:bookmarkStart w:id="31" w:name="_Toc358275088"/>
      <w:bookmarkStart w:id="32" w:name="_Toc257622318"/>
      <w:r>
        <w:rPr>
          <w:rFonts w:ascii="楷体" w:hAnsi="楷体" w:eastAsia="楷体" w:cs="Times New Roman"/>
          <w:b/>
          <w:sz w:val="24"/>
          <w:szCs w:val="24"/>
        </w:rPr>
        <w:t>法律适用与争议解决</w:t>
      </w:r>
      <w:bookmarkEnd w:id="29"/>
      <w:bookmarkEnd w:id="30"/>
      <w:bookmarkEnd w:id="31"/>
      <w:bookmarkEnd w:id="32"/>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kern w:val="0"/>
          <w:sz w:val="24"/>
          <w:szCs w:val="24"/>
        </w:rPr>
      </w:pPr>
      <w:r>
        <w:rPr>
          <w:rFonts w:ascii="楷体" w:hAnsi="楷体" w:eastAsia="楷体" w:cs="Times New Roman"/>
          <w:kern w:val="0"/>
          <w:sz w:val="24"/>
          <w:szCs w:val="24"/>
        </w:rPr>
        <w:t>因本合同产生的或与其有关的任何争议或分歧，包括本合同的成立、解释、效力、终止或履行等有关的任何问题，均适用中国法律。</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Cs/>
          <w:sz w:val="24"/>
        </w:rPr>
      </w:pPr>
      <w:r>
        <w:rPr>
          <w:rFonts w:ascii="楷体" w:hAnsi="楷体" w:eastAsia="楷体" w:cs="Times New Roman"/>
          <w:kern w:val="0"/>
          <w:sz w:val="24"/>
          <w:szCs w:val="24"/>
        </w:rPr>
        <w:t>因本合同所发生的或与本合同有关的一切争论、争议和要求，包括关于本合同的存在和有效性的争议，合同</w:t>
      </w:r>
      <w:r>
        <w:rPr>
          <w:rFonts w:ascii="楷体" w:hAnsi="楷体" w:eastAsia="楷体" w:cs="Times New Roman"/>
          <w:bCs/>
          <w:sz w:val="24"/>
        </w:rPr>
        <w:t>各</w:t>
      </w:r>
      <w:r>
        <w:rPr>
          <w:rFonts w:ascii="楷体" w:hAnsi="楷体" w:eastAsia="楷体" w:cs="Times New Roman"/>
          <w:kern w:val="0"/>
          <w:sz w:val="24"/>
          <w:szCs w:val="24"/>
        </w:rPr>
        <w:t>方应通过友好协商解决。</w:t>
      </w:r>
      <w:bookmarkStart w:id="33" w:name="_Toc328494946"/>
      <w:bookmarkStart w:id="34" w:name="_Toc257622321"/>
      <w:bookmarkStart w:id="35" w:name="_Toc358275090"/>
      <w:r>
        <w:rPr>
          <w:rFonts w:ascii="楷体" w:hAnsi="楷体" w:eastAsia="楷体" w:cs="Times New Roman"/>
          <w:kern w:val="0"/>
          <w:sz w:val="24"/>
          <w:szCs w:val="24"/>
        </w:rPr>
        <w:t>若不能协商解决，任何一方均可将争议提交甲方所在地有管辖权的人民法院提起诉讼。</w:t>
      </w:r>
      <w:r>
        <w:rPr>
          <w:rFonts w:hint="eastAsia" w:ascii="楷体" w:hAnsi="楷体" w:eastAsia="楷体" w:cs="Times New Roman"/>
          <w:kern w:val="0"/>
          <w:sz w:val="24"/>
          <w:szCs w:val="24"/>
        </w:rPr>
        <w:t>败诉方应承担另一方为解决争议而发生的所有费用</w:t>
      </w:r>
      <w:r>
        <w:rPr>
          <w:rFonts w:hint="eastAsia" w:ascii="楷体" w:hAnsi="楷体" w:eastAsia="楷体" w:cs="Times New Roman"/>
          <w:bCs/>
          <w:sz w:val="24"/>
        </w:rPr>
        <w:t>，包括但不限于另一方为此而支付的催收费用、诉讼费、保全费、财产担保费、公告费、执行费、评估费、审计费、拍卖费、律师费、差旅费及其他费用等。</w:t>
      </w:r>
    </w:p>
    <w:p>
      <w:pPr>
        <w:numPr>
          <w:ilvl w:val="0"/>
          <w:numId w:val="1"/>
        </w:numPr>
        <w:tabs>
          <w:tab w:val="left" w:pos="1442"/>
        </w:tabs>
        <w:adjustRightInd w:val="0"/>
        <w:snapToGrid w:val="0"/>
        <w:spacing w:before="156" w:beforeLines="50" w:after="156" w:afterLines="50" w:line="400" w:lineRule="exact"/>
        <w:ind w:left="0" w:firstLine="0"/>
        <w:jc w:val="center"/>
        <w:outlineLvl w:val="0"/>
        <w:rPr>
          <w:rFonts w:ascii="楷体" w:hAnsi="楷体" w:eastAsia="楷体" w:cs="Times New Roman"/>
          <w:b/>
          <w:sz w:val="24"/>
          <w:szCs w:val="24"/>
        </w:rPr>
      </w:pPr>
      <w:bookmarkStart w:id="36" w:name="_Toc161334846"/>
      <w:r>
        <w:rPr>
          <w:rFonts w:ascii="楷体" w:hAnsi="楷体" w:eastAsia="楷体" w:cs="Times New Roman"/>
          <w:b/>
          <w:sz w:val="24"/>
          <w:szCs w:val="24"/>
        </w:rPr>
        <w:t>其他</w:t>
      </w:r>
      <w:bookmarkEnd w:id="33"/>
      <w:bookmarkEnd w:id="34"/>
      <w:bookmarkEnd w:id="35"/>
      <w:bookmarkEnd w:id="36"/>
      <w:bookmarkStart w:id="37" w:name="_Toc327559606"/>
      <w:bookmarkStart w:id="38" w:name="_Toc328494947"/>
    </w:p>
    <w:bookmarkEnd w:id="37"/>
    <w:bookmarkEnd w:id="38"/>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rPr>
      </w:pPr>
      <w:bookmarkStart w:id="39" w:name="_Toc328494948"/>
      <w:bookmarkStart w:id="40" w:name="_Toc327559607"/>
      <w:r>
        <w:rPr>
          <w:rFonts w:ascii="楷体" w:hAnsi="楷体" w:eastAsia="楷体" w:cs="Times New Roman"/>
          <w:sz w:val="24"/>
          <w:szCs w:val="24"/>
        </w:rPr>
        <w:t>独立性：</w:t>
      </w:r>
      <w:r>
        <w:rPr>
          <w:rFonts w:ascii="楷体" w:hAnsi="楷体" w:eastAsia="楷体" w:cs="Times New Roman"/>
          <w:sz w:val="24"/>
        </w:rPr>
        <w:t>本合同所列明的保证和承诺均是分别和独立的，除本合同另有明文</w:t>
      </w:r>
      <w:r>
        <w:rPr>
          <w:rFonts w:hint="eastAsia" w:ascii="楷体" w:hAnsi="楷体" w:eastAsia="楷体" w:cs="Times New Roman"/>
          <w:sz w:val="24"/>
        </w:rPr>
        <w:t>约</w:t>
      </w:r>
      <w:r>
        <w:rPr>
          <w:rFonts w:ascii="楷体" w:hAnsi="楷体" w:eastAsia="楷体" w:cs="Times New Roman"/>
          <w:sz w:val="24"/>
        </w:rPr>
        <w:t>定或</w:t>
      </w:r>
      <w:r>
        <w:rPr>
          <w:rFonts w:ascii="楷体" w:hAnsi="楷体" w:eastAsia="楷体" w:cs="Times New Roman"/>
          <w:bCs/>
          <w:sz w:val="24"/>
        </w:rPr>
        <w:t>各</w:t>
      </w:r>
      <w:r>
        <w:rPr>
          <w:rFonts w:ascii="楷体" w:hAnsi="楷体" w:eastAsia="楷体" w:cs="Times New Roman"/>
          <w:sz w:val="24"/>
        </w:rPr>
        <w:t>方另行书面约定外，不得因本合同任何条款中可能包含的任何相反的意思表示而受到限制。</w:t>
      </w:r>
      <w:bookmarkEnd w:id="39"/>
      <w:bookmarkEnd w:id="40"/>
      <w:bookmarkStart w:id="41" w:name="_Toc328494949"/>
      <w:bookmarkStart w:id="42" w:name="_Toc327559608"/>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rPr>
      </w:pPr>
      <w:r>
        <w:rPr>
          <w:rFonts w:ascii="楷体" w:hAnsi="楷体" w:eastAsia="楷体" w:cs="Times New Roman"/>
          <w:sz w:val="24"/>
        </w:rPr>
        <w:t>变更：对本合同</w:t>
      </w:r>
      <w:r>
        <w:rPr>
          <w:rFonts w:ascii="楷体" w:hAnsi="楷体" w:eastAsia="楷体" w:cs="Times New Roman"/>
          <w:kern w:val="0"/>
          <w:sz w:val="24"/>
          <w:szCs w:val="24"/>
        </w:rPr>
        <w:t>进行</w:t>
      </w:r>
      <w:r>
        <w:rPr>
          <w:rFonts w:ascii="楷体" w:hAnsi="楷体" w:eastAsia="楷体" w:cs="Times New Roman"/>
          <w:sz w:val="24"/>
        </w:rPr>
        <w:t>的任何变更均需经合同</w:t>
      </w:r>
      <w:r>
        <w:rPr>
          <w:rFonts w:ascii="楷体" w:hAnsi="楷体" w:eastAsia="楷体" w:cs="Times New Roman"/>
          <w:bCs/>
          <w:sz w:val="24"/>
        </w:rPr>
        <w:t>各</w:t>
      </w:r>
      <w:r>
        <w:rPr>
          <w:rFonts w:ascii="楷体" w:hAnsi="楷体" w:eastAsia="楷体" w:cs="Times New Roman"/>
          <w:sz w:val="24"/>
          <w:szCs w:val="24"/>
        </w:rPr>
        <w:t>方</w:t>
      </w:r>
      <w:r>
        <w:rPr>
          <w:rFonts w:ascii="楷体" w:hAnsi="楷体" w:eastAsia="楷体" w:cs="Times New Roman"/>
          <w:sz w:val="24"/>
        </w:rPr>
        <w:t>协商一致并采用书面形式作出。</w:t>
      </w:r>
      <w:bookmarkEnd w:id="41"/>
      <w:bookmarkEnd w:id="42"/>
      <w:bookmarkStart w:id="43" w:name="_Toc327559609"/>
      <w:bookmarkStart w:id="44" w:name="_Toc328494950"/>
    </w:p>
    <w:bookmarkEnd w:id="43"/>
    <w:bookmarkEnd w:id="44"/>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rPr>
      </w:pPr>
      <w:bookmarkStart w:id="45" w:name="_Toc327559610"/>
      <w:bookmarkStart w:id="46" w:name="_Toc328494951"/>
      <w:r>
        <w:rPr>
          <w:rFonts w:ascii="楷体" w:hAnsi="楷体" w:eastAsia="楷体" w:cs="Times New Roman"/>
          <w:sz w:val="24"/>
        </w:rPr>
        <w:t>权利保留：任何一方未能或延迟行使其在本合同项下享有的、或要求另一方履行义务的或追究另一方责任的</w:t>
      </w:r>
      <w:r>
        <w:rPr>
          <w:rFonts w:ascii="楷体" w:hAnsi="楷体" w:eastAsia="楷体" w:cs="Times New Roman"/>
          <w:kern w:val="0"/>
          <w:sz w:val="24"/>
          <w:szCs w:val="24"/>
        </w:rPr>
        <w:t>任何</w:t>
      </w:r>
      <w:r>
        <w:rPr>
          <w:rFonts w:ascii="楷体" w:hAnsi="楷体" w:eastAsia="楷体" w:cs="Times New Roman"/>
          <w:sz w:val="24"/>
        </w:rPr>
        <w:t>权利、权力或特权，不应构成对该等权利、权力或特权之放弃，单一或部分地行使任何权利、权力或特权亦不应排除对其他权利、权力或特权的行使。</w:t>
      </w:r>
      <w:bookmarkEnd w:id="45"/>
      <w:bookmarkEnd w:id="46"/>
      <w:bookmarkStart w:id="47" w:name="_Toc328494952"/>
      <w:bookmarkStart w:id="48" w:name="_Toc327559611"/>
    </w:p>
    <w:bookmarkEnd w:id="47"/>
    <w:bookmarkEnd w:id="48"/>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kern w:val="0"/>
          <w:sz w:val="24"/>
          <w:szCs w:val="24"/>
        </w:rPr>
      </w:pPr>
      <w:bookmarkStart w:id="49" w:name="_Toc328494953"/>
      <w:bookmarkStart w:id="50" w:name="_Toc327559612"/>
      <w:r>
        <w:rPr>
          <w:rFonts w:ascii="楷体" w:hAnsi="楷体" w:eastAsia="楷体" w:cs="Times New Roman"/>
          <w:sz w:val="24"/>
        </w:rPr>
        <w:t>完整性：本合同连同本合同的任何附件构成本合同各方就本合同所述事项的全部合同。若本合同附件与本合同内容不一致的，以本合同内容为准，本合同未做约定的，以本合同附件的内容为准。各方确认，本合同的附件</w:t>
      </w:r>
      <w:bookmarkEnd w:id="49"/>
      <w:bookmarkEnd w:id="50"/>
      <w:bookmarkStart w:id="51" w:name="_Toc328494954"/>
      <w:bookmarkStart w:id="52" w:name="_Toc327559613"/>
      <w:r>
        <w:rPr>
          <w:rFonts w:ascii="楷体" w:hAnsi="楷体" w:eastAsia="楷体" w:cs="Times New Roman"/>
          <w:sz w:val="24"/>
        </w:rPr>
        <w:t>有</w:t>
      </w:r>
      <w:r>
        <w:rPr>
          <w:rFonts w:hint="eastAsia" w:ascii="楷体" w:hAnsi="楷体" w:eastAsia="楷体" w:cs="Times New Roman"/>
          <w:sz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ascii="楷体" w:hAnsi="楷体" w:eastAsia="楷体" w:cs="Times New Roman"/>
          <w:bCs/>
          <w:sz w:val="24"/>
        </w:rPr>
        <w:t>附件一《</w:t>
      </w:r>
      <w:r>
        <w:rPr>
          <w:rFonts w:hint="eastAsia" w:ascii="楷体" w:hAnsi="楷体" w:eastAsia="楷体" w:cs="Times New Roman"/>
          <w:bCs/>
          <w:sz w:val="24"/>
        </w:rPr>
        <w:t>借款合同</w:t>
      </w:r>
      <w:r>
        <w:rPr>
          <w:rFonts w:ascii="楷体" w:hAnsi="楷体" w:eastAsia="楷体" w:cs="Times New Roman"/>
          <w:bCs/>
          <w:sz w:val="24"/>
        </w:rPr>
        <w:t>》</w:t>
      </w:r>
    </w:p>
    <w:p>
      <w:pPr>
        <w:numPr>
          <w:ilvl w:val="2"/>
          <w:numId w:val="1"/>
        </w:numPr>
        <w:tabs>
          <w:tab w:val="left" w:pos="1652"/>
        </w:tabs>
        <w:adjustRightInd w:val="0"/>
        <w:snapToGrid w:val="0"/>
        <w:spacing w:before="156" w:beforeLines="50" w:after="156" w:afterLines="50" w:line="400" w:lineRule="exact"/>
        <w:ind w:left="1652" w:hanging="896"/>
        <w:rPr>
          <w:rFonts w:ascii="楷体" w:hAnsi="楷体" w:eastAsia="楷体" w:cs="Times New Roman"/>
          <w:bCs/>
          <w:sz w:val="24"/>
        </w:rPr>
      </w:pPr>
      <w:r>
        <w:rPr>
          <w:rFonts w:hint="eastAsia" w:ascii="楷体" w:hAnsi="楷体" w:eastAsia="楷体" w:cs="Times New Roman"/>
          <w:bCs/>
          <w:sz w:val="24"/>
        </w:rPr>
        <w:t>附件二《抵押合同》、《质押合同》</w:t>
      </w:r>
    </w:p>
    <w:bookmarkEnd w:id="51"/>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szCs w:val="24"/>
        </w:rPr>
      </w:pPr>
      <w:bookmarkStart w:id="53" w:name="_Toc328494957"/>
      <w:r>
        <w:rPr>
          <w:rFonts w:ascii="楷体" w:hAnsi="楷体" w:eastAsia="楷体" w:cs="Times New Roman"/>
          <w:sz w:val="24"/>
          <w:szCs w:val="24"/>
        </w:rPr>
        <w:t>效力：本合同经各方加盖各自的公章（对于自然人签署方而言，则应由其亲笔签字）后立即生效。就本合同的未尽事宜，本合同各方签署的修改与</w:t>
      </w:r>
      <w:r>
        <w:rPr>
          <w:rFonts w:ascii="楷体" w:hAnsi="楷体" w:eastAsia="楷体" w:cs="Times New Roman"/>
          <w:kern w:val="0"/>
          <w:sz w:val="24"/>
          <w:szCs w:val="24"/>
        </w:rPr>
        <w:t>补充文件与本合同约定不一致的，以各方签署的修改与补充文件为准。</w:t>
      </w:r>
    </w:p>
    <w:p>
      <w:pPr>
        <w:numPr>
          <w:ilvl w:val="1"/>
          <w:numId w:val="1"/>
        </w:numPr>
        <w:tabs>
          <w:tab w:val="left" w:pos="1442"/>
        </w:tabs>
        <w:adjustRightInd w:val="0"/>
        <w:snapToGrid w:val="0"/>
        <w:spacing w:before="156" w:beforeLines="50" w:after="156" w:afterLines="50" w:line="400" w:lineRule="exact"/>
        <w:ind w:left="737" w:hanging="726"/>
        <w:rPr>
          <w:rFonts w:ascii="楷体" w:hAnsi="楷体" w:eastAsia="楷体" w:cs="Times New Roman"/>
          <w:b/>
          <w:sz w:val="24"/>
        </w:rPr>
      </w:pPr>
      <w:r>
        <w:rPr>
          <w:rFonts w:ascii="楷体" w:hAnsi="楷体" w:eastAsia="楷体" w:cs="Times New Roman"/>
          <w:sz w:val="24"/>
        </w:rPr>
        <w:t>文本：本合同一式</w:t>
      </w:r>
      <w:r>
        <w:rPr>
          <w:rFonts w:hint="eastAsia" w:ascii="楷体" w:hAnsi="楷体" w:eastAsia="楷体" w:cs="Times New Roman"/>
          <w:sz w:val="24"/>
        </w:rPr>
        <w:t>柒</w:t>
      </w:r>
      <w:r>
        <w:rPr>
          <w:rFonts w:ascii="楷体" w:hAnsi="楷体" w:eastAsia="楷体" w:cs="Times New Roman"/>
          <w:sz w:val="24"/>
        </w:rPr>
        <w:t>份，各方各执贰份，</w:t>
      </w:r>
      <w:r>
        <w:rPr>
          <w:rFonts w:hint="eastAsia" w:ascii="楷体" w:hAnsi="楷体" w:eastAsia="楷体" w:cs="Times New Roman"/>
          <w:sz w:val="24"/>
        </w:rPr>
        <w:t>交易所留存壹份，</w:t>
      </w:r>
      <w:r>
        <w:rPr>
          <w:rFonts w:ascii="楷体" w:hAnsi="楷体" w:eastAsia="楷体" w:cs="Times New Roman"/>
          <w:sz w:val="24"/>
        </w:rPr>
        <w:t>每份具有同等法律效力。</w:t>
      </w:r>
      <w:bookmarkEnd w:id="52"/>
      <w:bookmarkEnd w:id="53"/>
    </w:p>
    <w:p>
      <w:pPr>
        <w:adjustRightInd w:val="0"/>
        <w:snapToGrid w:val="0"/>
        <w:spacing w:before="156" w:beforeLines="50" w:after="156" w:afterLines="50" w:line="400" w:lineRule="exact"/>
        <w:jc w:val="left"/>
        <w:rPr>
          <w:rFonts w:ascii="楷体" w:hAnsi="楷体" w:eastAsia="楷体" w:cs="Times New Roman"/>
          <w:sz w:val="24"/>
          <w:szCs w:val="24"/>
        </w:rPr>
      </w:pPr>
      <w:r>
        <w:rPr>
          <w:rFonts w:ascii="楷体" w:hAnsi="楷体" w:eastAsia="楷体" w:cs="Times New Roman"/>
          <w:sz w:val="24"/>
          <w:szCs w:val="24"/>
        </w:rPr>
        <w:t>（以下无正文）</w:t>
      </w:r>
      <w:r>
        <w:rPr>
          <w:rFonts w:ascii="楷体" w:hAnsi="楷体" w:eastAsia="楷体" w:cs="Times New Roman"/>
          <w:sz w:val="24"/>
          <w:szCs w:val="24"/>
        </w:rPr>
        <w:br w:type="page"/>
      </w:r>
    </w:p>
    <w:p>
      <w:pPr>
        <w:adjustRightInd w:val="0"/>
        <w:snapToGrid w:val="0"/>
        <w:spacing w:before="156" w:beforeLines="50" w:after="156" w:afterLines="50" w:line="400" w:lineRule="exact"/>
        <w:jc w:val="left"/>
        <w:rPr>
          <w:rFonts w:ascii="楷体" w:hAnsi="楷体" w:eastAsia="楷体" w:cs="Times New Roman"/>
          <w:color w:val="000000" w:themeColor="text1"/>
          <w:sz w:val="24"/>
          <w:szCs w:val="21"/>
          <w14:textFill>
            <w14:solidFill>
              <w14:schemeClr w14:val="tx1"/>
            </w14:solidFill>
          </w14:textFill>
        </w:rPr>
      </w:pPr>
      <w:r>
        <w:rPr>
          <w:rFonts w:ascii="楷体" w:hAnsi="楷体" w:eastAsia="楷体" w:cs="Times New Roman"/>
          <w:color w:val="000000" w:themeColor="text1"/>
          <w:sz w:val="24"/>
          <w:szCs w:val="21"/>
          <w14:textFill>
            <w14:solidFill>
              <w14:schemeClr w14:val="tx1"/>
            </w14:solidFill>
          </w14:textFill>
        </w:rPr>
        <w:t>（本页为《</w:t>
      </w:r>
      <w:r>
        <w:rPr>
          <w:rFonts w:ascii="楷体" w:hAnsi="楷体" w:eastAsia="楷体" w:cs="Times New Roman"/>
          <w:sz w:val="24"/>
          <w:szCs w:val="24"/>
        </w:rPr>
        <w:t>关于</w:t>
      </w:r>
      <w:r>
        <w:rPr>
          <w:rFonts w:ascii="楷体" w:hAnsi="楷体" w:eastAsia="楷体" w:cs="Times New Roman"/>
          <w:bCs/>
          <w:sz w:val="24"/>
          <w:szCs w:val="24"/>
        </w:rPr>
        <w:t>贵州双龙航空港产城融合房地产开发有限公司</w:t>
      </w:r>
      <w:r>
        <w:rPr>
          <w:rFonts w:ascii="楷体" w:hAnsi="楷体" w:eastAsia="楷体" w:cs="Times New Roman"/>
          <w:sz w:val="24"/>
          <w:szCs w:val="24"/>
        </w:rPr>
        <w:t>之产权转让合同</w:t>
      </w:r>
      <w:r>
        <w:rPr>
          <w:rFonts w:ascii="楷体" w:hAnsi="楷体" w:eastAsia="楷体" w:cs="Times New Roman"/>
          <w:color w:val="000000" w:themeColor="text1"/>
          <w:sz w:val="24"/>
          <w:szCs w:val="21"/>
          <w14:textFill>
            <w14:solidFill>
              <w14:schemeClr w14:val="tx1"/>
            </w14:solidFill>
          </w14:textFill>
        </w:rPr>
        <w:t>》签字页，无正文、各方已责其各自妥当授权的代表于上文首页载明的日期签署了本合同，以昭信守）</w:t>
      </w:r>
    </w:p>
    <w:tbl>
      <w:tblPr>
        <w:tblStyle w:val="9"/>
        <w:tblpPr w:leftFromText="180" w:rightFromText="180" w:vertAnchor="text" w:horzAnchor="margin" w:tblpY="7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16" w:type="dxa"/>
          </w:tcPr>
          <w:p>
            <w:pPr>
              <w:adjustRightInd w:val="0"/>
              <w:snapToGrid w:val="0"/>
              <w:spacing w:before="156" w:beforeLines="50" w:after="156" w:afterLines="50" w:line="400" w:lineRule="exact"/>
              <w:jc w:val="left"/>
              <w:rPr>
                <w:rFonts w:ascii="楷体" w:hAnsi="楷体" w:eastAsia="楷体" w:cs="Times New Roman"/>
                <w:szCs w:val="24"/>
              </w:rPr>
            </w:pPr>
            <w:r>
              <w:rPr>
                <w:rFonts w:ascii="楷体" w:hAnsi="楷体" w:eastAsia="楷体" w:cs="Times New Roman"/>
                <w:b/>
                <w:szCs w:val="24"/>
              </w:rPr>
              <w:t>转让方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9016" w:type="dxa"/>
          </w:tcPr>
          <w:p>
            <w:pPr>
              <w:adjustRightInd w:val="0"/>
              <w:snapToGrid w:val="0"/>
              <w:spacing w:before="156" w:beforeLines="50" w:after="156" w:afterLines="50" w:line="400" w:lineRule="exact"/>
              <w:jc w:val="left"/>
              <w:rPr>
                <w:rFonts w:ascii="楷体" w:hAnsi="楷体" w:eastAsia="楷体" w:cs="Times New Roman"/>
                <w:b/>
                <w:szCs w:val="24"/>
              </w:rPr>
            </w:pPr>
            <w:r>
              <w:rPr>
                <w:rFonts w:ascii="楷体" w:hAnsi="楷体" w:eastAsia="楷体" w:cs="Times New Roman"/>
                <w:szCs w:val="24"/>
              </w:rPr>
              <w:t>（盖章）</w:t>
            </w:r>
          </w:p>
          <w:p>
            <w:pPr>
              <w:adjustRightInd w:val="0"/>
              <w:snapToGrid w:val="0"/>
              <w:spacing w:before="156" w:beforeLines="50" w:after="156" w:afterLines="50" w:line="400" w:lineRule="exact"/>
              <w:jc w:val="left"/>
              <w:rPr>
                <w:rFonts w:ascii="楷体" w:hAnsi="楷体" w:eastAsia="楷体" w:cs="Times New Roman"/>
                <w:b/>
                <w:szCs w:val="24"/>
              </w:rPr>
            </w:pPr>
          </w:p>
          <w:p>
            <w:pPr>
              <w:adjustRightInd w:val="0"/>
              <w:snapToGrid w:val="0"/>
              <w:spacing w:before="156" w:beforeLines="50" w:after="156" w:afterLines="50" w:line="400" w:lineRule="exact"/>
              <w:jc w:val="left"/>
              <w:rPr>
                <w:rFonts w:ascii="楷体" w:hAnsi="楷体" w:eastAsia="楷体" w:cs="Times New Roman"/>
                <w:b/>
                <w:szCs w:val="24"/>
              </w:rPr>
            </w:pPr>
          </w:p>
          <w:p>
            <w:pPr>
              <w:adjustRightInd w:val="0"/>
              <w:snapToGrid w:val="0"/>
              <w:spacing w:before="156" w:beforeLines="50" w:after="156" w:afterLines="50" w:line="400" w:lineRule="exact"/>
              <w:jc w:val="left"/>
              <w:rPr>
                <w:rFonts w:ascii="楷体" w:hAnsi="楷体" w:eastAsia="楷体" w:cs="Times New Roman"/>
                <w:szCs w:val="24"/>
              </w:rPr>
            </w:pPr>
            <w:r>
              <w:rPr>
                <w:rFonts w:ascii="楷体" w:hAnsi="楷体" w:eastAsia="楷体" w:cs="Times New Roman"/>
                <w:b/>
                <w:szCs w:val="24"/>
              </w:rPr>
              <w:t>法定代表人/授权代表：</w:t>
            </w:r>
            <w:r>
              <w:rPr>
                <w:rFonts w:ascii="楷体" w:hAnsi="楷体" w:eastAsia="楷体" w:cs="Times New Roman"/>
                <w:szCs w:val="24"/>
                <w:u w:val="single"/>
              </w:rPr>
              <w:t xml:space="preserve">       </w:t>
            </w:r>
            <w:r>
              <w:rPr>
                <w:rFonts w:ascii="楷体" w:hAnsi="楷体" w:eastAsia="楷体" w:cs="Times New Roman"/>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016" w:type="dxa"/>
          </w:tcPr>
          <w:p>
            <w:pPr>
              <w:adjustRightInd w:val="0"/>
              <w:snapToGrid w:val="0"/>
              <w:spacing w:before="156" w:beforeLines="50" w:after="156" w:afterLines="50" w:line="400" w:lineRule="exact"/>
              <w:jc w:val="left"/>
              <w:rPr>
                <w:rFonts w:ascii="楷体" w:hAnsi="楷体" w:eastAsia="楷体" w:cs="Times New Roman"/>
                <w:b/>
                <w:szCs w:val="24"/>
              </w:rPr>
            </w:pPr>
            <w:r>
              <w:rPr>
                <w:rFonts w:ascii="楷体" w:hAnsi="楷体" w:eastAsia="楷体" w:cs="Times New Roman"/>
                <w:b/>
                <w:szCs w:val="24"/>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016" w:type="dxa"/>
          </w:tcPr>
          <w:p>
            <w:pPr>
              <w:adjustRightInd w:val="0"/>
              <w:snapToGrid w:val="0"/>
              <w:spacing w:before="156" w:beforeLines="50" w:after="156" w:afterLines="50" w:line="400" w:lineRule="exact"/>
              <w:jc w:val="left"/>
              <w:rPr>
                <w:rFonts w:ascii="楷体" w:hAnsi="楷体" w:eastAsia="楷体" w:cs="Times New Roman"/>
                <w:b/>
                <w:szCs w:val="24"/>
              </w:rPr>
            </w:pPr>
          </w:p>
          <w:p>
            <w:pPr>
              <w:adjustRightInd w:val="0"/>
              <w:snapToGrid w:val="0"/>
              <w:spacing w:before="156" w:beforeLines="50" w:after="156" w:afterLines="50" w:line="400" w:lineRule="exact"/>
              <w:jc w:val="left"/>
              <w:rPr>
                <w:rFonts w:ascii="楷体" w:hAnsi="楷体" w:eastAsia="楷体" w:cs="Times New Roman"/>
                <w:szCs w:val="24"/>
              </w:rPr>
            </w:pPr>
            <w:r>
              <w:rPr>
                <w:rFonts w:ascii="楷体" w:hAnsi="楷体" w:eastAsia="楷体" w:cs="Times New Roman"/>
                <w:szCs w:val="24"/>
              </w:rPr>
              <w:t>（</w:t>
            </w:r>
            <w:r>
              <w:rPr>
                <w:rFonts w:hint="eastAsia" w:ascii="楷体" w:hAnsi="楷体" w:eastAsia="楷体" w:cs="Times New Roman"/>
                <w:szCs w:val="24"/>
              </w:rPr>
              <w:t>盖章</w:t>
            </w:r>
            <w:r>
              <w:rPr>
                <w:rFonts w:ascii="楷体" w:hAnsi="楷体" w:eastAsia="楷体" w:cs="Times New Roman"/>
                <w:szCs w:val="24"/>
              </w:rPr>
              <w:t>）</w:t>
            </w:r>
          </w:p>
          <w:p>
            <w:pPr>
              <w:adjustRightInd w:val="0"/>
              <w:snapToGrid w:val="0"/>
              <w:spacing w:before="156" w:beforeLines="50" w:after="156" w:afterLines="50" w:line="400" w:lineRule="exact"/>
              <w:jc w:val="left"/>
              <w:rPr>
                <w:rFonts w:ascii="楷体" w:hAnsi="楷体" w:eastAsia="楷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16" w:type="dxa"/>
          </w:tcPr>
          <w:p>
            <w:pPr>
              <w:adjustRightInd w:val="0"/>
              <w:snapToGrid w:val="0"/>
              <w:spacing w:before="156" w:beforeLines="50" w:after="156" w:afterLines="50" w:line="400" w:lineRule="exact"/>
              <w:rPr>
                <w:rFonts w:ascii="楷体" w:hAnsi="楷体" w:eastAsia="楷体" w:cs="Times New Roman"/>
                <w:b/>
                <w:szCs w:val="24"/>
              </w:rPr>
            </w:pPr>
            <w:r>
              <w:rPr>
                <w:rFonts w:ascii="楷体" w:hAnsi="楷体" w:eastAsia="楷体" w:cs="Times New Roman"/>
                <w:b/>
                <w:szCs w:val="24"/>
              </w:rPr>
              <w:t>目标公司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16" w:type="dxa"/>
          </w:tcPr>
          <w:p>
            <w:pPr>
              <w:adjustRightInd w:val="0"/>
              <w:snapToGrid w:val="0"/>
              <w:spacing w:before="156" w:beforeLines="50" w:after="156" w:afterLines="50" w:line="400" w:lineRule="exact"/>
              <w:rPr>
                <w:rFonts w:ascii="楷体" w:hAnsi="楷体" w:eastAsia="楷体" w:cs="Times New Roman"/>
                <w:szCs w:val="24"/>
              </w:rPr>
            </w:pPr>
            <w:r>
              <w:rPr>
                <w:rFonts w:ascii="楷体" w:hAnsi="楷体" w:eastAsia="楷体" w:cs="Times New Roman"/>
                <w:szCs w:val="24"/>
              </w:rPr>
              <w:t>（盖章）</w:t>
            </w:r>
          </w:p>
          <w:p>
            <w:pPr>
              <w:adjustRightInd w:val="0"/>
              <w:snapToGrid w:val="0"/>
              <w:spacing w:before="156" w:beforeLines="50" w:after="156" w:afterLines="50" w:line="400" w:lineRule="exact"/>
              <w:rPr>
                <w:rFonts w:ascii="楷体" w:hAnsi="楷体" w:eastAsia="楷体" w:cs="Times New Roman"/>
                <w:b/>
                <w:szCs w:val="24"/>
              </w:rPr>
            </w:pPr>
          </w:p>
          <w:p>
            <w:pPr>
              <w:adjustRightInd w:val="0"/>
              <w:snapToGrid w:val="0"/>
              <w:spacing w:before="156" w:beforeLines="50" w:after="156" w:afterLines="50" w:line="400" w:lineRule="exact"/>
              <w:rPr>
                <w:rFonts w:ascii="楷体" w:hAnsi="楷体" w:eastAsia="楷体" w:cs="Times New Roman"/>
                <w:b/>
                <w:szCs w:val="24"/>
              </w:rPr>
            </w:pPr>
          </w:p>
          <w:p>
            <w:pPr>
              <w:adjustRightInd w:val="0"/>
              <w:snapToGrid w:val="0"/>
              <w:spacing w:before="156" w:beforeLines="50" w:after="156" w:afterLines="50" w:line="400" w:lineRule="exact"/>
              <w:rPr>
                <w:rFonts w:ascii="楷体" w:hAnsi="楷体" w:eastAsia="楷体" w:cs="Times New Roman"/>
                <w:b/>
                <w:szCs w:val="24"/>
              </w:rPr>
            </w:pPr>
            <w:r>
              <w:rPr>
                <w:rFonts w:ascii="楷体" w:hAnsi="楷体" w:eastAsia="楷体" w:cs="Times New Roman"/>
                <w:b/>
                <w:szCs w:val="24"/>
              </w:rPr>
              <w:t>法定代表人/授权代表：</w:t>
            </w:r>
            <w:r>
              <w:rPr>
                <w:rFonts w:ascii="楷体" w:hAnsi="楷体" w:eastAsia="楷体" w:cs="Times New Roman"/>
                <w:szCs w:val="24"/>
                <w:u w:val="single"/>
              </w:rPr>
              <w:t xml:space="preserve">       </w:t>
            </w:r>
            <w:r>
              <w:rPr>
                <w:rFonts w:ascii="楷体" w:hAnsi="楷体" w:eastAsia="楷体" w:cs="Times New Roman"/>
                <w:szCs w:val="24"/>
              </w:rPr>
              <w:t>（签字）</w:t>
            </w:r>
          </w:p>
        </w:tc>
      </w:tr>
      <w:bookmarkEnd w:id="0"/>
      <w:bookmarkEnd w:id="1"/>
    </w:tbl>
    <w:p>
      <w:pPr>
        <w:tabs>
          <w:tab w:val="left" w:pos="-2040"/>
        </w:tabs>
        <w:adjustRightInd w:val="0"/>
        <w:snapToGrid w:val="0"/>
        <w:spacing w:before="156" w:beforeLines="50" w:after="156" w:afterLines="50" w:line="400" w:lineRule="exact"/>
        <w:outlineLvl w:val="0"/>
        <w:rPr>
          <w:rFonts w:ascii="楷体" w:hAnsi="楷体" w:eastAsia="楷体" w:cs="Times New Roman"/>
          <w:kern w:val="0"/>
          <w:sz w:val="24"/>
          <w:szCs w:val="24"/>
        </w:rPr>
      </w:pPr>
    </w:p>
    <w:sectPr>
      <w:headerReference r:id="rId9" w:type="first"/>
      <w:footerReference r:id="rId11" w:type="first"/>
      <w:headerReference r:id="rId7" w:type="default"/>
      <w:headerReference r:id="rId8" w:type="even"/>
      <w:footerReference r:id="rId10" w:type="even"/>
      <w:pgSz w:w="11906" w:h="16838"/>
      <w:pgMar w:top="2098" w:right="1474" w:bottom="1985" w:left="1588" w:header="425"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Calibri" w:hAnsi="Calibri" w:eastAsia="宋体"/>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404098"/>
    </w:sdtPr>
    <w:sdtContent>
      <w:p>
        <w:pPr>
          <w:pStyle w:val="4"/>
          <w:jc w:val="center"/>
        </w:pPr>
        <w:r>
          <w:rPr>
            <w:rFonts w:hint="eastAsia" w:ascii="楷体" w:hAnsi="楷体" w:eastAsia="楷体"/>
          </w:rPr>
          <w:t>第</w:t>
        </w:r>
        <w:sdt>
          <w:sdtPr>
            <w:rPr>
              <w:rFonts w:ascii="楷体" w:hAnsi="楷体" w:eastAsia="楷体"/>
            </w:rPr>
            <w:id w:val="1728636285"/>
          </w:sdtPr>
          <w:sdtEndPr>
            <w:rPr>
              <w:rFonts w:asciiTheme="minorHAnsi" w:hAnsiTheme="minorHAnsi" w:eastAsiaTheme="minorEastAsia"/>
            </w:rPr>
          </w:sdtEndPr>
          <w:sdtContent>
            <w:r>
              <w:rPr>
                <w:rFonts w:ascii="楷体" w:hAnsi="楷体" w:eastAsia="楷体"/>
              </w:rPr>
              <w:fldChar w:fldCharType="begin"/>
            </w:r>
            <w:r>
              <w:rPr>
                <w:rFonts w:ascii="楷体" w:hAnsi="楷体" w:eastAsia="楷体"/>
              </w:rPr>
              <w:instrText xml:space="preserve">PAGE</w:instrText>
            </w:r>
            <w:r>
              <w:rPr>
                <w:rFonts w:ascii="楷体" w:hAnsi="楷体" w:eastAsia="楷体"/>
              </w:rPr>
              <w:fldChar w:fldCharType="separate"/>
            </w:r>
            <w:r>
              <w:rPr>
                <w:rFonts w:ascii="楷体" w:hAnsi="楷体" w:eastAsia="楷体"/>
                <w:lang w:val="zh-CN"/>
              </w:rPr>
              <w:t>2</w:t>
            </w:r>
            <w:r>
              <w:rPr>
                <w:rFonts w:ascii="楷体" w:hAnsi="楷体" w:eastAsia="楷体"/>
              </w:rPr>
              <w:fldChar w:fldCharType="end"/>
            </w:r>
            <w:r>
              <w:rPr>
                <w:rFonts w:hint="eastAsia" w:ascii="楷体" w:hAnsi="楷体" w:eastAsia="楷体"/>
              </w:rPr>
              <w:t>页</w:t>
            </w:r>
            <w:r>
              <w:rPr>
                <w:rFonts w:ascii="楷体" w:hAnsi="楷体" w:eastAsia="楷体"/>
                <w:lang w:val="zh-CN"/>
              </w:rPr>
              <w:t xml:space="preserve"> </w:t>
            </w:r>
            <w:r>
              <w:rPr>
                <w:rFonts w:hint="eastAsia" w:ascii="楷体" w:hAnsi="楷体" w:eastAsia="楷体"/>
                <w:lang w:val="zh-CN"/>
              </w:rPr>
              <w:t>共</w:t>
            </w:r>
            <w:r>
              <w:rPr>
                <w:rFonts w:ascii="楷体" w:hAnsi="楷体" w:eastAsia="楷体"/>
              </w:rPr>
              <w:fldChar w:fldCharType="begin"/>
            </w:r>
            <w:r>
              <w:rPr>
                <w:rFonts w:ascii="楷体" w:hAnsi="楷体" w:eastAsia="楷体"/>
              </w:rPr>
              <w:instrText xml:space="preserve">NUMPAGES</w:instrText>
            </w:r>
            <w:r>
              <w:rPr>
                <w:rFonts w:ascii="楷体" w:hAnsi="楷体" w:eastAsia="楷体"/>
              </w:rPr>
              <w:fldChar w:fldCharType="separate"/>
            </w:r>
            <w:r>
              <w:rPr>
                <w:rFonts w:ascii="楷体" w:hAnsi="楷体" w:eastAsia="楷体"/>
                <w:lang w:val="zh-CN"/>
              </w:rPr>
              <w:t>2</w:t>
            </w:r>
            <w:r>
              <w:rPr>
                <w:rFonts w:ascii="楷体" w:hAnsi="楷体" w:eastAsia="楷体"/>
              </w:rPr>
              <w:fldChar w:fldCharType="end"/>
            </w:r>
            <w:r>
              <w:rPr>
                <w:rFonts w:hint="eastAsia" w:ascii="楷体" w:hAnsi="楷体" w:eastAsia="楷体"/>
              </w:rPr>
              <w:t>页</w:t>
            </w:r>
          </w:sdtContent>
        </w:sdt>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1477F"/>
    <w:multiLevelType w:val="multilevel"/>
    <w:tmpl w:val="3321477F"/>
    <w:lvl w:ilvl="0" w:tentative="0">
      <w:start w:val="1"/>
      <w:numFmt w:val="chineseCountingThousand"/>
      <w:lvlText w:val="第%1条."/>
      <w:lvlJc w:val="left"/>
      <w:pPr>
        <w:ind w:left="3544" w:hanging="425"/>
      </w:pPr>
      <w:rPr>
        <w:rFonts w:hint="default" w:ascii="Times New Roman" w:hAnsi="Times New Roman" w:cs="Times New Roman"/>
        <w:b/>
      </w:rPr>
    </w:lvl>
    <w:lvl w:ilvl="1" w:tentative="0">
      <w:start w:val="1"/>
      <w:numFmt w:val="decimal"/>
      <w:isLgl/>
      <w:lvlText w:val="%1.%2"/>
      <w:lvlJc w:val="left"/>
      <w:pPr>
        <w:ind w:left="567" w:hanging="567"/>
      </w:pPr>
      <w:rPr>
        <w:rFonts w:hint="default" w:ascii="Times New Roman" w:hAnsi="Times New Roman" w:eastAsia="宋体" w:cs="Times New Roman"/>
        <w:b w:val="0"/>
        <w:sz w:val="24"/>
        <w:szCs w:val="24"/>
      </w:rPr>
    </w:lvl>
    <w:lvl w:ilvl="2" w:tentative="0">
      <w:start w:val="1"/>
      <w:numFmt w:val="decimal"/>
      <w:isLgl/>
      <w:lvlText w:val="%1.%2.%3"/>
      <w:lvlJc w:val="left"/>
      <w:pPr>
        <w:ind w:left="567" w:hanging="567"/>
      </w:pPr>
      <w:rPr>
        <w:rFonts w:hint="default" w:ascii="Times New Roman" w:hAnsi="Times New Roman" w:eastAsia="宋体" w:cs="Times New Roman"/>
        <w:b w:val="0"/>
        <w:sz w:val="24"/>
        <w:szCs w:val="24"/>
      </w:rPr>
    </w:lvl>
    <w:lvl w:ilvl="3" w:tentative="0">
      <w:start w:val="1"/>
      <w:numFmt w:val="decimal"/>
      <w:lvlText w:val="（%4）"/>
      <w:lvlJc w:val="left"/>
      <w:pPr>
        <w:ind w:left="5103" w:hanging="708"/>
      </w:pPr>
    </w:lvl>
    <w:lvl w:ilvl="4" w:tentative="0">
      <w:start w:val="1"/>
      <w:numFmt w:val="lowerLetter"/>
      <w:lvlText w:val="（%5）"/>
      <w:lvlJc w:val="left"/>
      <w:pPr>
        <w:ind w:left="5670" w:hanging="850"/>
      </w:pPr>
    </w:lvl>
    <w:lvl w:ilvl="5" w:tentative="0">
      <w:start w:val="1"/>
      <w:numFmt w:val="lowerRoman"/>
      <w:lvlText w:val="（%6）"/>
      <w:lvlJc w:val="left"/>
      <w:pPr>
        <w:ind w:left="6379" w:hanging="1134"/>
      </w:pPr>
    </w:lvl>
    <w:lvl w:ilvl="6" w:tentative="0">
      <w:start w:val="1"/>
      <w:numFmt w:val="decimal"/>
      <w:lvlText w:val="%1.%2.%3.%4.%5.%6.%7"/>
      <w:lvlJc w:val="left"/>
      <w:pPr>
        <w:ind w:left="6946" w:hanging="1276"/>
      </w:pPr>
    </w:lvl>
    <w:lvl w:ilvl="7" w:tentative="0">
      <w:start w:val="1"/>
      <w:numFmt w:val="decimal"/>
      <w:lvlText w:val="%1.%2.%3.%4.%5.%6.%7.%8"/>
      <w:lvlJc w:val="left"/>
      <w:pPr>
        <w:ind w:left="7513" w:hanging="1418"/>
      </w:pPr>
    </w:lvl>
    <w:lvl w:ilvl="8" w:tentative="0">
      <w:start w:val="1"/>
      <w:numFmt w:val="decimal"/>
      <w:lvlText w:val="%1.%2.%3.%4.%5.%6.%7.%8.%9"/>
      <w:lvlJc w:val="left"/>
      <w:pPr>
        <w:ind w:left="8221" w:hanging="1700"/>
      </w:pPr>
    </w:lvl>
  </w:abstractNum>
  <w:abstractNum w:abstractNumId="1">
    <w:nsid w:val="742E4F2E"/>
    <w:multiLevelType w:val="multilevel"/>
    <w:tmpl w:val="742E4F2E"/>
    <w:lvl w:ilvl="0" w:tentative="0">
      <w:start w:val="1"/>
      <w:numFmt w:val="lowerLetter"/>
      <w:lvlText w:val="%1)"/>
      <w:lvlJc w:val="left"/>
      <w:pPr>
        <w:ind w:left="2992" w:hanging="440"/>
      </w:pPr>
    </w:lvl>
    <w:lvl w:ilvl="1" w:tentative="0">
      <w:start w:val="1"/>
      <w:numFmt w:val="lowerLetter"/>
      <w:lvlText w:val="%2)"/>
      <w:lvlJc w:val="left"/>
      <w:pPr>
        <w:ind w:left="3432" w:hanging="440"/>
      </w:pPr>
    </w:lvl>
    <w:lvl w:ilvl="2" w:tentative="0">
      <w:start w:val="1"/>
      <w:numFmt w:val="lowerRoman"/>
      <w:lvlText w:val="%3."/>
      <w:lvlJc w:val="right"/>
      <w:pPr>
        <w:ind w:left="3872" w:hanging="440"/>
      </w:pPr>
    </w:lvl>
    <w:lvl w:ilvl="3" w:tentative="0">
      <w:start w:val="1"/>
      <w:numFmt w:val="decimal"/>
      <w:lvlText w:val="%4."/>
      <w:lvlJc w:val="left"/>
      <w:pPr>
        <w:ind w:left="4312" w:hanging="440"/>
      </w:pPr>
    </w:lvl>
    <w:lvl w:ilvl="4" w:tentative="0">
      <w:start w:val="1"/>
      <w:numFmt w:val="lowerLetter"/>
      <w:lvlText w:val="%5)"/>
      <w:lvlJc w:val="left"/>
      <w:pPr>
        <w:ind w:left="4752" w:hanging="440"/>
      </w:pPr>
    </w:lvl>
    <w:lvl w:ilvl="5" w:tentative="0">
      <w:start w:val="1"/>
      <w:numFmt w:val="lowerRoman"/>
      <w:lvlText w:val="%6."/>
      <w:lvlJc w:val="right"/>
      <w:pPr>
        <w:ind w:left="5192" w:hanging="440"/>
      </w:pPr>
    </w:lvl>
    <w:lvl w:ilvl="6" w:tentative="0">
      <w:start w:val="1"/>
      <w:numFmt w:val="decimal"/>
      <w:lvlText w:val="%7."/>
      <w:lvlJc w:val="left"/>
      <w:pPr>
        <w:ind w:left="5632" w:hanging="440"/>
      </w:pPr>
    </w:lvl>
    <w:lvl w:ilvl="7" w:tentative="0">
      <w:start w:val="1"/>
      <w:numFmt w:val="lowerLetter"/>
      <w:lvlText w:val="%8)"/>
      <w:lvlJc w:val="left"/>
      <w:pPr>
        <w:ind w:left="6072" w:hanging="440"/>
      </w:pPr>
    </w:lvl>
    <w:lvl w:ilvl="8" w:tentative="0">
      <w:start w:val="1"/>
      <w:numFmt w:val="lowerRoman"/>
      <w:lvlText w:val="%9."/>
      <w:lvlJc w:val="right"/>
      <w:pPr>
        <w:ind w:left="6512"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DJhNDU4MTNiNzkwMTQzZDBhNzI0ZjE2ZjhkNmUifQ=="/>
  </w:docVars>
  <w:rsids>
    <w:rsidRoot w:val="00302660"/>
    <w:rsid w:val="0000417A"/>
    <w:rsid w:val="00004E30"/>
    <w:rsid w:val="0000518D"/>
    <w:rsid w:val="00007B31"/>
    <w:rsid w:val="00010C7F"/>
    <w:rsid w:val="00020201"/>
    <w:rsid w:val="0002347B"/>
    <w:rsid w:val="00024809"/>
    <w:rsid w:val="00034BB7"/>
    <w:rsid w:val="00037E17"/>
    <w:rsid w:val="00037F26"/>
    <w:rsid w:val="00050EC3"/>
    <w:rsid w:val="00052389"/>
    <w:rsid w:val="00053B2D"/>
    <w:rsid w:val="00054E74"/>
    <w:rsid w:val="00055F42"/>
    <w:rsid w:val="00060D3E"/>
    <w:rsid w:val="00061888"/>
    <w:rsid w:val="00061A57"/>
    <w:rsid w:val="000647AA"/>
    <w:rsid w:val="00065220"/>
    <w:rsid w:val="00072F31"/>
    <w:rsid w:val="00076D6C"/>
    <w:rsid w:val="00081926"/>
    <w:rsid w:val="00086E12"/>
    <w:rsid w:val="0008707A"/>
    <w:rsid w:val="000924B0"/>
    <w:rsid w:val="00092DDB"/>
    <w:rsid w:val="00093843"/>
    <w:rsid w:val="000A113D"/>
    <w:rsid w:val="000A43C1"/>
    <w:rsid w:val="000A792D"/>
    <w:rsid w:val="000D018D"/>
    <w:rsid w:val="000E26C4"/>
    <w:rsid w:val="000E6F81"/>
    <w:rsid w:val="000F5D3E"/>
    <w:rsid w:val="0010237F"/>
    <w:rsid w:val="001124B6"/>
    <w:rsid w:val="00122C4A"/>
    <w:rsid w:val="001260AA"/>
    <w:rsid w:val="00127832"/>
    <w:rsid w:val="001318FC"/>
    <w:rsid w:val="0013422F"/>
    <w:rsid w:val="00134562"/>
    <w:rsid w:val="0013681D"/>
    <w:rsid w:val="0014444C"/>
    <w:rsid w:val="00145AC7"/>
    <w:rsid w:val="0014796D"/>
    <w:rsid w:val="001676FB"/>
    <w:rsid w:val="0017100F"/>
    <w:rsid w:val="0017314B"/>
    <w:rsid w:val="00174AB5"/>
    <w:rsid w:val="001814AA"/>
    <w:rsid w:val="00181AD6"/>
    <w:rsid w:val="00183EC8"/>
    <w:rsid w:val="0018573C"/>
    <w:rsid w:val="00187898"/>
    <w:rsid w:val="001902DF"/>
    <w:rsid w:val="0019143D"/>
    <w:rsid w:val="00194AE4"/>
    <w:rsid w:val="001967E5"/>
    <w:rsid w:val="00197F91"/>
    <w:rsid w:val="001A231D"/>
    <w:rsid w:val="001A3F1D"/>
    <w:rsid w:val="001A5F6E"/>
    <w:rsid w:val="001B5B60"/>
    <w:rsid w:val="001C0EEB"/>
    <w:rsid w:val="001C225F"/>
    <w:rsid w:val="001D7998"/>
    <w:rsid w:val="001F69B9"/>
    <w:rsid w:val="0020116C"/>
    <w:rsid w:val="00225F18"/>
    <w:rsid w:val="00227F86"/>
    <w:rsid w:val="00234DD2"/>
    <w:rsid w:val="002403D9"/>
    <w:rsid w:val="0024115C"/>
    <w:rsid w:val="00244DAC"/>
    <w:rsid w:val="0024755A"/>
    <w:rsid w:val="0025082D"/>
    <w:rsid w:val="002537EB"/>
    <w:rsid w:val="0025679A"/>
    <w:rsid w:val="00260099"/>
    <w:rsid w:val="00273EB8"/>
    <w:rsid w:val="00274603"/>
    <w:rsid w:val="00274B1C"/>
    <w:rsid w:val="0029756F"/>
    <w:rsid w:val="002A1C7A"/>
    <w:rsid w:val="002B2A08"/>
    <w:rsid w:val="002B5554"/>
    <w:rsid w:val="002B577E"/>
    <w:rsid w:val="002C1141"/>
    <w:rsid w:val="002C3769"/>
    <w:rsid w:val="002C71A6"/>
    <w:rsid w:val="002E0F5F"/>
    <w:rsid w:val="002E1660"/>
    <w:rsid w:val="002E25BF"/>
    <w:rsid w:val="002F0BA7"/>
    <w:rsid w:val="00302660"/>
    <w:rsid w:val="00303101"/>
    <w:rsid w:val="0030582F"/>
    <w:rsid w:val="0031682E"/>
    <w:rsid w:val="00325E36"/>
    <w:rsid w:val="00327FFA"/>
    <w:rsid w:val="00331919"/>
    <w:rsid w:val="0034238A"/>
    <w:rsid w:val="00343617"/>
    <w:rsid w:val="00347DB5"/>
    <w:rsid w:val="00350942"/>
    <w:rsid w:val="003562BC"/>
    <w:rsid w:val="003577D8"/>
    <w:rsid w:val="00363489"/>
    <w:rsid w:val="0037365A"/>
    <w:rsid w:val="003739D9"/>
    <w:rsid w:val="003744C6"/>
    <w:rsid w:val="00380D55"/>
    <w:rsid w:val="00386449"/>
    <w:rsid w:val="00394D7A"/>
    <w:rsid w:val="003A1E08"/>
    <w:rsid w:val="003A3225"/>
    <w:rsid w:val="003A5EAE"/>
    <w:rsid w:val="003B15C6"/>
    <w:rsid w:val="003B62CB"/>
    <w:rsid w:val="003B6F60"/>
    <w:rsid w:val="003C714D"/>
    <w:rsid w:val="003D4720"/>
    <w:rsid w:val="003E2160"/>
    <w:rsid w:val="003E3A6E"/>
    <w:rsid w:val="003E4A98"/>
    <w:rsid w:val="003E740F"/>
    <w:rsid w:val="003E74F3"/>
    <w:rsid w:val="003F1963"/>
    <w:rsid w:val="003F6369"/>
    <w:rsid w:val="004015F4"/>
    <w:rsid w:val="00404CA4"/>
    <w:rsid w:val="00404D3B"/>
    <w:rsid w:val="004165DF"/>
    <w:rsid w:val="00425CED"/>
    <w:rsid w:val="004315F2"/>
    <w:rsid w:val="0043429D"/>
    <w:rsid w:val="00444056"/>
    <w:rsid w:val="00447C6D"/>
    <w:rsid w:val="00452940"/>
    <w:rsid w:val="00452C02"/>
    <w:rsid w:val="00453934"/>
    <w:rsid w:val="004607C9"/>
    <w:rsid w:val="004615B9"/>
    <w:rsid w:val="00461C33"/>
    <w:rsid w:val="004630E9"/>
    <w:rsid w:val="004632C5"/>
    <w:rsid w:val="00463DDC"/>
    <w:rsid w:val="00482D0A"/>
    <w:rsid w:val="00491714"/>
    <w:rsid w:val="00492A48"/>
    <w:rsid w:val="00492EC3"/>
    <w:rsid w:val="004A2232"/>
    <w:rsid w:val="004A2FE3"/>
    <w:rsid w:val="004B3C26"/>
    <w:rsid w:val="004C2C20"/>
    <w:rsid w:val="004D1345"/>
    <w:rsid w:val="004D33F1"/>
    <w:rsid w:val="004D7519"/>
    <w:rsid w:val="004E17A6"/>
    <w:rsid w:val="004E6661"/>
    <w:rsid w:val="004F6EA2"/>
    <w:rsid w:val="00500376"/>
    <w:rsid w:val="00501488"/>
    <w:rsid w:val="00503C8A"/>
    <w:rsid w:val="0050557D"/>
    <w:rsid w:val="005057D5"/>
    <w:rsid w:val="005060C8"/>
    <w:rsid w:val="0051008B"/>
    <w:rsid w:val="00511E72"/>
    <w:rsid w:val="0051435D"/>
    <w:rsid w:val="00515374"/>
    <w:rsid w:val="005176E9"/>
    <w:rsid w:val="0053013F"/>
    <w:rsid w:val="00531382"/>
    <w:rsid w:val="00546DA7"/>
    <w:rsid w:val="00551BFE"/>
    <w:rsid w:val="005528B0"/>
    <w:rsid w:val="00552992"/>
    <w:rsid w:val="005536C3"/>
    <w:rsid w:val="0055551F"/>
    <w:rsid w:val="00557384"/>
    <w:rsid w:val="005650D4"/>
    <w:rsid w:val="0057361F"/>
    <w:rsid w:val="00577095"/>
    <w:rsid w:val="00583F50"/>
    <w:rsid w:val="00591AF7"/>
    <w:rsid w:val="00591E72"/>
    <w:rsid w:val="005960A7"/>
    <w:rsid w:val="005A7EC0"/>
    <w:rsid w:val="005B35FB"/>
    <w:rsid w:val="005B4966"/>
    <w:rsid w:val="005C4961"/>
    <w:rsid w:val="005D3E5C"/>
    <w:rsid w:val="005F7CC7"/>
    <w:rsid w:val="00615263"/>
    <w:rsid w:val="006211B1"/>
    <w:rsid w:val="00623D41"/>
    <w:rsid w:val="00627496"/>
    <w:rsid w:val="006343D4"/>
    <w:rsid w:val="00635AF1"/>
    <w:rsid w:val="0064006E"/>
    <w:rsid w:val="006406D6"/>
    <w:rsid w:val="00640860"/>
    <w:rsid w:val="0064421E"/>
    <w:rsid w:val="006451AC"/>
    <w:rsid w:val="006478D0"/>
    <w:rsid w:val="006509A6"/>
    <w:rsid w:val="00651F6D"/>
    <w:rsid w:val="00654F39"/>
    <w:rsid w:val="00655317"/>
    <w:rsid w:val="0065789F"/>
    <w:rsid w:val="006621CD"/>
    <w:rsid w:val="0066252F"/>
    <w:rsid w:val="00662AE8"/>
    <w:rsid w:val="0066643E"/>
    <w:rsid w:val="00667C9F"/>
    <w:rsid w:val="00674904"/>
    <w:rsid w:val="00684F48"/>
    <w:rsid w:val="00685CB2"/>
    <w:rsid w:val="00686595"/>
    <w:rsid w:val="00690E42"/>
    <w:rsid w:val="00690F61"/>
    <w:rsid w:val="0069348B"/>
    <w:rsid w:val="00693650"/>
    <w:rsid w:val="006A7E71"/>
    <w:rsid w:val="006B10F0"/>
    <w:rsid w:val="006B2119"/>
    <w:rsid w:val="006B5290"/>
    <w:rsid w:val="006B52ED"/>
    <w:rsid w:val="006B7E7E"/>
    <w:rsid w:val="006C24C0"/>
    <w:rsid w:val="006D23FD"/>
    <w:rsid w:val="006D3576"/>
    <w:rsid w:val="006D3C71"/>
    <w:rsid w:val="006D73D9"/>
    <w:rsid w:val="006E15F1"/>
    <w:rsid w:val="006E64AA"/>
    <w:rsid w:val="006F0C15"/>
    <w:rsid w:val="006F0FAA"/>
    <w:rsid w:val="006F53C2"/>
    <w:rsid w:val="00700FD1"/>
    <w:rsid w:val="00702F06"/>
    <w:rsid w:val="00707604"/>
    <w:rsid w:val="00712009"/>
    <w:rsid w:val="00715262"/>
    <w:rsid w:val="00715996"/>
    <w:rsid w:val="007159E5"/>
    <w:rsid w:val="0071603F"/>
    <w:rsid w:val="00720184"/>
    <w:rsid w:val="00721E56"/>
    <w:rsid w:val="007228C2"/>
    <w:rsid w:val="00726164"/>
    <w:rsid w:val="007311CA"/>
    <w:rsid w:val="00743B3E"/>
    <w:rsid w:val="00744400"/>
    <w:rsid w:val="0076619D"/>
    <w:rsid w:val="00771EB5"/>
    <w:rsid w:val="0077374B"/>
    <w:rsid w:val="00773A07"/>
    <w:rsid w:val="0078013F"/>
    <w:rsid w:val="00782C82"/>
    <w:rsid w:val="00783555"/>
    <w:rsid w:val="007858EF"/>
    <w:rsid w:val="00790014"/>
    <w:rsid w:val="007957E9"/>
    <w:rsid w:val="007A70D9"/>
    <w:rsid w:val="007C044F"/>
    <w:rsid w:val="007C669D"/>
    <w:rsid w:val="007D18FF"/>
    <w:rsid w:val="007D737B"/>
    <w:rsid w:val="007E02C4"/>
    <w:rsid w:val="007E2AB5"/>
    <w:rsid w:val="007E3A50"/>
    <w:rsid w:val="007E3B4D"/>
    <w:rsid w:val="007E6977"/>
    <w:rsid w:val="007F1B9C"/>
    <w:rsid w:val="007F70BC"/>
    <w:rsid w:val="007F7A01"/>
    <w:rsid w:val="00800C67"/>
    <w:rsid w:val="0080145E"/>
    <w:rsid w:val="0080223E"/>
    <w:rsid w:val="00802FEA"/>
    <w:rsid w:val="00803A5A"/>
    <w:rsid w:val="00810FF8"/>
    <w:rsid w:val="00811C24"/>
    <w:rsid w:val="00814D2C"/>
    <w:rsid w:val="00815C86"/>
    <w:rsid w:val="008202C1"/>
    <w:rsid w:val="00820857"/>
    <w:rsid w:val="00822FCD"/>
    <w:rsid w:val="00823117"/>
    <w:rsid w:val="0083016F"/>
    <w:rsid w:val="00832646"/>
    <w:rsid w:val="008353C7"/>
    <w:rsid w:val="00836DBE"/>
    <w:rsid w:val="008424AA"/>
    <w:rsid w:val="00853893"/>
    <w:rsid w:val="00853C68"/>
    <w:rsid w:val="00864DB2"/>
    <w:rsid w:val="00865D2F"/>
    <w:rsid w:val="00872CD1"/>
    <w:rsid w:val="00873CF0"/>
    <w:rsid w:val="00877B34"/>
    <w:rsid w:val="00882756"/>
    <w:rsid w:val="008841DB"/>
    <w:rsid w:val="008847B1"/>
    <w:rsid w:val="008863C2"/>
    <w:rsid w:val="008913D8"/>
    <w:rsid w:val="008923AE"/>
    <w:rsid w:val="00894FAB"/>
    <w:rsid w:val="00896F1F"/>
    <w:rsid w:val="00897B84"/>
    <w:rsid w:val="008A2EB8"/>
    <w:rsid w:val="008A3FC1"/>
    <w:rsid w:val="008A431B"/>
    <w:rsid w:val="008A73E4"/>
    <w:rsid w:val="008B4506"/>
    <w:rsid w:val="008D04A9"/>
    <w:rsid w:val="008D1768"/>
    <w:rsid w:val="008D5951"/>
    <w:rsid w:val="008E325C"/>
    <w:rsid w:val="008E4CD5"/>
    <w:rsid w:val="008F1C22"/>
    <w:rsid w:val="008F579B"/>
    <w:rsid w:val="008F6185"/>
    <w:rsid w:val="0090344F"/>
    <w:rsid w:val="00903E83"/>
    <w:rsid w:val="009053FC"/>
    <w:rsid w:val="00911F7D"/>
    <w:rsid w:val="00932FE1"/>
    <w:rsid w:val="009443CA"/>
    <w:rsid w:val="009509AD"/>
    <w:rsid w:val="00960738"/>
    <w:rsid w:val="009653CE"/>
    <w:rsid w:val="00971E58"/>
    <w:rsid w:val="00972795"/>
    <w:rsid w:val="009748E9"/>
    <w:rsid w:val="00982508"/>
    <w:rsid w:val="00995400"/>
    <w:rsid w:val="00996954"/>
    <w:rsid w:val="009976C3"/>
    <w:rsid w:val="009A2450"/>
    <w:rsid w:val="009A2C73"/>
    <w:rsid w:val="009B40B7"/>
    <w:rsid w:val="009C1046"/>
    <w:rsid w:val="009C1D95"/>
    <w:rsid w:val="009C47FA"/>
    <w:rsid w:val="009D25F4"/>
    <w:rsid w:val="009D44AB"/>
    <w:rsid w:val="009E1A24"/>
    <w:rsid w:val="009E4CCC"/>
    <w:rsid w:val="009E5B60"/>
    <w:rsid w:val="009E6CA2"/>
    <w:rsid w:val="009F510F"/>
    <w:rsid w:val="009F5EDB"/>
    <w:rsid w:val="00A11F75"/>
    <w:rsid w:val="00A135E2"/>
    <w:rsid w:val="00A15F25"/>
    <w:rsid w:val="00A16C6F"/>
    <w:rsid w:val="00A25998"/>
    <w:rsid w:val="00A26F3A"/>
    <w:rsid w:val="00A46A00"/>
    <w:rsid w:val="00A51DB6"/>
    <w:rsid w:val="00A6086B"/>
    <w:rsid w:val="00A612CE"/>
    <w:rsid w:val="00A653AF"/>
    <w:rsid w:val="00A65B00"/>
    <w:rsid w:val="00A72CD4"/>
    <w:rsid w:val="00A73C5F"/>
    <w:rsid w:val="00A75198"/>
    <w:rsid w:val="00A82694"/>
    <w:rsid w:val="00A842B2"/>
    <w:rsid w:val="00A84E1F"/>
    <w:rsid w:val="00A920A7"/>
    <w:rsid w:val="00A943ED"/>
    <w:rsid w:val="00AA06D2"/>
    <w:rsid w:val="00AA54C7"/>
    <w:rsid w:val="00AA6C11"/>
    <w:rsid w:val="00AB0E3B"/>
    <w:rsid w:val="00AB50D0"/>
    <w:rsid w:val="00AB6EA0"/>
    <w:rsid w:val="00AC0EE6"/>
    <w:rsid w:val="00AC40D3"/>
    <w:rsid w:val="00AC44DC"/>
    <w:rsid w:val="00AC60B1"/>
    <w:rsid w:val="00AC6CFF"/>
    <w:rsid w:val="00AD0A44"/>
    <w:rsid w:val="00AD785D"/>
    <w:rsid w:val="00AE1935"/>
    <w:rsid w:val="00AE1A26"/>
    <w:rsid w:val="00AE32C0"/>
    <w:rsid w:val="00AE485F"/>
    <w:rsid w:val="00AF4245"/>
    <w:rsid w:val="00AF780A"/>
    <w:rsid w:val="00B014A4"/>
    <w:rsid w:val="00B02951"/>
    <w:rsid w:val="00B07189"/>
    <w:rsid w:val="00B1378B"/>
    <w:rsid w:val="00B156CC"/>
    <w:rsid w:val="00B20115"/>
    <w:rsid w:val="00B213D6"/>
    <w:rsid w:val="00B2772E"/>
    <w:rsid w:val="00B4052B"/>
    <w:rsid w:val="00B40AEB"/>
    <w:rsid w:val="00B429D6"/>
    <w:rsid w:val="00B44184"/>
    <w:rsid w:val="00B44E28"/>
    <w:rsid w:val="00B54E7A"/>
    <w:rsid w:val="00B612F4"/>
    <w:rsid w:val="00B637AD"/>
    <w:rsid w:val="00B64191"/>
    <w:rsid w:val="00B6624B"/>
    <w:rsid w:val="00B72327"/>
    <w:rsid w:val="00B74D89"/>
    <w:rsid w:val="00B76FB8"/>
    <w:rsid w:val="00B7728F"/>
    <w:rsid w:val="00B77A83"/>
    <w:rsid w:val="00B8296E"/>
    <w:rsid w:val="00B94202"/>
    <w:rsid w:val="00B95D64"/>
    <w:rsid w:val="00BA4780"/>
    <w:rsid w:val="00BA69C2"/>
    <w:rsid w:val="00BB25B7"/>
    <w:rsid w:val="00BB5556"/>
    <w:rsid w:val="00BD3F07"/>
    <w:rsid w:val="00BD559E"/>
    <w:rsid w:val="00BD6749"/>
    <w:rsid w:val="00BE14A4"/>
    <w:rsid w:val="00BE1612"/>
    <w:rsid w:val="00BE2494"/>
    <w:rsid w:val="00BE2AAF"/>
    <w:rsid w:val="00BE360E"/>
    <w:rsid w:val="00BF10B9"/>
    <w:rsid w:val="00BF2ECF"/>
    <w:rsid w:val="00C04BC9"/>
    <w:rsid w:val="00C05235"/>
    <w:rsid w:val="00C066D6"/>
    <w:rsid w:val="00C17177"/>
    <w:rsid w:val="00C179AA"/>
    <w:rsid w:val="00C34107"/>
    <w:rsid w:val="00C34393"/>
    <w:rsid w:val="00C3542D"/>
    <w:rsid w:val="00C4598E"/>
    <w:rsid w:val="00C47FE0"/>
    <w:rsid w:val="00C520E4"/>
    <w:rsid w:val="00C52562"/>
    <w:rsid w:val="00C54A9B"/>
    <w:rsid w:val="00C56810"/>
    <w:rsid w:val="00C7307C"/>
    <w:rsid w:val="00C8557D"/>
    <w:rsid w:val="00C92AB9"/>
    <w:rsid w:val="00C94CB1"/>
    <w:rsid w:val="00CA4757"/>
    <w:rsid w:val="00CA575E"/>
    <w:rsid w:val="00CB25BF"/>
    <w:rsid w:val="00CD18C2"/>
    <w:rsid w:val="00CD5104"/>
    <w:rsid w:val="00CD724E"/>
    <w:rsid w:val="00CD7C71"/>
    <w:rsid w:val="00CE079C"/>
    <w:rsid w:val="00CE47D1"/>
    <w:rsid w:val="00CE4AAA"/>
    <w:rsid w:val="00CE4C03"/>
    <w:rsid w:val="00CF1E2A"/>
    <w:rsid w:val="00CF2BB8"/>
    <w:rsid w:val="00CF510A"/>
    <w:rsid w:val="00D03B68"/>
    <w:rsid w:val="00D12F34"/>
    <w:rsid w:val="00D134A9"/>
    <w:rsid w:val="00D165F2"/>
    <w:rsid w:val="00D21717"/>
    <w:rsid w:val="00D21D22"/>
    <w:rsid w:val="00D25397"/>
    <w:rsid w:val="00D25854"/>
    <w:rsid w:val="00D2687C"/>
    <w:rsid w:val="00D3574E"/>
    <w:rsid w:val="00D361B0"/>
    <w:rsid w:val="00D377EE"/>
    <w:rsid w:val="00D40ECD"/>
    <w:rsid w:val="00D43DFB"/>
    <w:rsid w:val="00D4615C"/>
    <w:rsid w:val="00D462B3"/>
    <w:rsid w:val="00D50A52"/>
    <w:rsid w:val="00D61EF8"/>
    <w:rsid w:val="00D62C5F"/>
    <w:rsid w:val="00D73078"/>
    <w:rsid w:val="00D75FFD"/>
    <w:rsid w:val="00D8022B"/>
    <w:rsid w:val="00D80A23"/>
    <w:rsid w:val="00D8458F"/>
    <w:rsid w:val="00D857B7"/>
    <w:rsid w:val="00D8586B"/>
    <w:rsid w:val="00D877C3"/>
    <w:rsid w:val="00D9226D"/>
    <w:rsid w:val="00D9330B"/>
    <w:rsid w:val="00D9764E"/>
    <w:rsid w:val="00DA21F1"/>
    <w:rsid w:val="00DA2C7E"/>
    <w:rsid w:val="00DA396C"/>
    <w:rsid w:val="00DA500D"/>
    <w:rsid w:val="00DA7604"/>
    <w:rsid w:val="00DB0066"/>
    <w:rsid w:val="00DB23E5"/>
    <w:rsid w:val="00DD02D6"/>
    <w:rsid w:val="00DD1FF4"/>
    <w:rsid w:val="00DD49A1"/>
    <w:rsid w:val="00DE12BF"/>
    <w:rsid w:val="00DE26A2"/>
    <w:rsid w:val="00DE340C"/>
    <w:rsid w:val="00DE4ED8"/>
    <w:rsid w:val="00DE5486"/>
    <w:rsid w:val="00DE7A0C"/>
    <w:rsid w:val="00DF3F58"/>
    <w:rsid w:val="00E01B26"/>
    <w:rsid w:val="00E04BE1"/>
    <w:rsid w:val="00E13A8A"/>
    <w:rsid w:val="00E13EEE"/>
    <w:rsid w:val="00E179A0"/>
    <w:rsid w:val="00E26061"/>
    <w:rsid w:val="00E302AD"/>
    <w:rsid w:val="00E303B8"/>
    <w:rsid w:val="00E32127"/>
    <w:rsid w:val="00E33C83"/>
    <w:rsid w:val="00E42932"/>
    <w:rsid w:val="00E53839"/>
    <w:rsid w:val="00E568C5"/>
    <w:rsid w:val="00E57AB6"/>
    <w:rsid w:val="00E57B22"/>
    <w:rsid w:val="00E60573"/>
    <w:rsid w:val="00E64F65"/>
    <w:rsid w:val="00E75D48"/>
    <w:rsid w:val="00E81BEF"/>
    <w:rsid w:val="00E821F0"/>
    <w:rsid w:val="00E92DDD"/>
    <w:rsid w:val="00E9409C"/>
    <w:rsid w:val="00E95DE9"/>
    <w:rsid w:val="00EA309A"/>
    <w:rsid w:val="00EA59B1"/>
    <w:rsid w:val="00EA63E7"/>
    <w:rsid w:val="00EA67C0"/>
    <w:rsid w:val="00EA6DF5"/>
    <w:rsid w:val="00EB20BF"/>
    <w:rsid w:val="00EB2BF8"/>
    <w:rsid w:val="00EC068E"/>
    <w:rsid w:val="00EC5C2A"/>
    <w:rsid w:val="00ED0224"/>
    <w:rsid w:val="00ED17C5"/>
    <w:rsid w:val="00ED1B0E"/>
    <w:rsid w:val="00ED5E74"/>
    <w:rsid w:val="00ED78E0"/>
    <w:rsid w:val="00EE4BF2"/>
    <w:rsid w:val="00EE75FE"/>
    <w:rsid w:val="00EF15D4"/>
    <w:rsid w:val="00EF1F23"/>
    <w:rsid w:val="00EF3269"/>
    <w:rsid w:val="00EF34BF"/>
    <w:rsid w:val="00F11A16"/>
    <w:rsid w:val="00F14BA3"/>
    <w:rsid w:val="00F168DE"/>
    <w:rsid w:val="00F210C1"/>
    <w:rsid w:val="00F21ABB"/>
    <w:rsid w:val="00F24004"/>
    <w:rsid w:val="00F32D83"/>
    <w:rsid w:val="00F330A2"/>
    <w:rsid w:val="00F35940"/>
    <w:rsid w:val="00F53F64"/>
    <w:rsid w:val="00F5568B"/>
    <w:rsid w:val="00F57320"/>
    <w:rsid w:val="00F62B21"/>
    <w:rsid w:val="00F633F3"/>
    <w:rsid w:val="00F67210"/>
    <w:rsid w:val="00F67848"/>
    <w:rsid w:val="00F73A4F"/>
    <w:rsid w:val="00F73DE8"/>
    <w:rsid w:val="00F7784F"/>
    <w:rsid w:val="00F823C1"/>
    <w:rsid w:val="00F83E8D"/>
    <w:rsid w:val="00F840BF"/>
    <w:rsid w:val="00F85C4F"/>
    <w:rsid w:val="00F966D7"/>
    <w:rsid w:val="00FA20C1"/>
    <w:rsid w:val="00FA2D4A"/>
    <w:rsid w:val="00FA45C1"/>
    <w:rsid w:val="00FA66C4"/>
    <w:rsid w:val="00FA763D"/>
    <w:rsid w:val="00FC6C76"/>
    <w:rsid w:val="00FD1342"/>
    <w:rsid w:val="00FD491B"/>
    <w:rsid w:val="00FD73C7"/>
    <w:rsid w:val="00FD76F6"/>
    <w:rsid w:val="00FE6AD9"/>
    <w:rsid w:val="00FF0A90"/>
    <w:rsid w:val="00FF0DBA"/>
    <w:rsid w:val="0244793D"/>
    <w:rsid w:val="02EA1421"/>
    <w:rsid w:val="0A347ACD"/>
    <w:rsid w:val="0E8B4C94"/>
    <w:rsid w:val="13040E8F"/>
    <w:rsid w:val="15142090"/>
    <w:rsid w:val="2FE75A7C"/>
    <w:rsid w:val="336B086B"/>
    <w:rsid w:val="374A50AB"/>
    <w:rsid w:val="39D6145C"/>
    <w:rsid w:val="3A03364C"/>
    <w:rsid w:val="3B89083B"/>
    <w:rsid w:val="41157415"/>
    <w:rsid w:val="47F6211F"/>
    <w:rsid w:val="4E571C5E"/>
    <w:rsid w:val="5BBB238E"/>
    <w:rsid w:val="603B21D1"/>
    <w:rsid w:val="608F3613"/>
    <w:rsid w:val="727D3192"/>
    <w:rsid w:val="741C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细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0"/>
    <w:pPr>
      <w:jc w:val="left"/>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autoRedefine/>
    <w:unhideWhenUsed/>
    <w:qFormat/>
    <w:uiPriority w:val="39"/>
  </w:style>
  <w:style w:type="paragraph" w:styleId="7">
    <w:name w:val="annotation subject"/>
    <w:basedOn w:val="2"/>
    <w:next w:val="2"/>
    <w:link w:val="17"/>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0"/>
    <w:autoRedefine/>
    <w:unhideWhenUsed/>
    <w:qFormat/>
    <w:uiPriority w:val="0"/>
    <w:rPr>
      <w:sz w:val="21"/>
      <w:szCs w:val="21"/>
    </w:rPr>
  </w:style>
  <w:style w:type="character" w:customStyle="1" w:styleId="14">
    <w:name w:val="页眉 字符"/>
    <w:basedOn w:val="10"/>
    <w:link w:val="5"/>
    <w:autoRedefine/>
    <w:qFormat/>
    <w:uiPriority w:val="99"/>
    <w:rPr>
      <w:sz w:val="18"/>
      <w:szCs w:val="18"/>
    </w:rPr>
  </w:style>
  <w:style w:type="character" w:customStyle="1" w:styleId="15">
    <w:name w:val="页脚 字符"/>
    <w:basedOn w:val="10"/>
    <w:link w:val="4"/>
    <w:autoRedefine/>
    <w:qFormat/>
    <w:uiPriority w:val="99"/>
    <w:rPr>
      <w:sz w:val="18"/>
      <w:szCs w:val="18"/>
    </w:rPr>
  </w:style>
  <w:style w:type="character" w:customStyle="1" w:styleId="16">
    <w:name w:val="批注文字 字符"/>
    <w:basedOn w:val="10"/>
    <w:link w:val="2"/>
    <w:autoRedefine/>
    <w:qFormat/>
    <w:uiPriority w:val="0"/>
    <w:rPr>
      <w:rFonts w:asciiTheme="minorHAnsi" w:hAnsiTheme="minorHAnsi" w:eastAsiaTheme="minorEastAsia"/>
      <w:sz w:val="21"/>
    </w:rPr>
  </w:style>
  <w:style w:type="character" w:customStyle="1" w:styleId="17">
    <w:name w:val="批注主题 字符"/>
    <w:basedOn w:val="16"/>
    <w:link w:val="7"/>
    <w:autoRedefine/>
    <w:semiHidden/>
    <w:qFormat/>
    <w:uiPriority w:val="99"/>
    <w:rPr>
      <w:rFonts w:asciiTheme="minorHAnsi" w:hAnsiTheme="minorHAnsi" w:eastAsiaTheme="minorEastAsia"/>
      <w:b/>
      <w:bCs/>
      <w:sz w:val="21"/>
    </w:rPr>
  </w:style>
  <w:style w:type="character" w:customStyle="1" w:styleId="18">
    <w:name w:val="批注框文本 字符"/>
    <w:basedOn w:val="10"/>
    <w:link w:val="3"/>
    <w:autoRedefine/>
    <w:semiHidden/>
    <w:qFormat/>
    <w:uiPriority w:val="99"/>
    <w:rPr>
      <w:rFonts w:asciiTheme="minorHAnsi" w:hAnsiTheme="minorHAnsi" w:eastAsiaTheme="minorEastAsia"/>
      <w:sz w:val="18"/>
      <w:szCs w:val="18"/>
    </w:rPr>
  </w:style>
  <w:style w:type="paragraph" w:styleId="19">
    <w:name w:val="List Paragraph"/>
    <w:basedOn w:val="1"/>
    <w:autoRedefine/>
    <w:qFormat/>
    <w:uiPriority w:val="34"/>
    <w:pPr>
      <w:ind w:firstLine="420" w:firstLineChars="200"/>
    </w:pPr>
  </w:style>
  <w:style w:type="character" w:customStyle="1" w:styleId="20">
    <w:name w:val="ask-title2"/>
    <w:basedOn w:val="10"/>
    <w:autoRedefine/>
    <w:qFormat/>
    <w:uiPriority w:val="0"/>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未处理的提及1"/>
    <w:basedOn w:val="10"/>
    <w:autoRedefine/>
    <w:semiHidden/>
    <w:unhideWhenUsed/>
    <w:qFormat/>
    <w:uiPriority w:val="99"/>
    <w:rPr>
      <w:color w:val="605E5C"/>
      <w:shd w:val="clear" w:color="auto" w:fill="E1DFDD"/>
    </w:rPr>
  </w:style>
  <w:style w:type="paragraph" w:customStyle="1" w:styleId="24">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9455-357B-40C1-8ABF-FA256681AF05}">
  <ds:schemaRefs/>
</ds:datastoreItem>
</file>

<file path=docProps/app.xml><?xml version="1.0" encoding="utf-8"?>
<Properties xmlns="http://schemas.openxmlformats.org/officeDocument/2006/extended-properties" xmlns:vt="http://schemas.openxmlformats.org/officeDocument/2006/docPropsVTypes">
  <Template>Normal</Template>
  <Pages>1</Pages>
  <Words>1588</Words>
  <Characters>9058</Characters>
  <Lines>75</Lines>
  <Paragraphs>21</Paragraphs>
  <TotalTime>5550</TotalTime>
  <ScaleCrop>false</ScaleCrop>
  <LinksUpToDate>false</LinksUpToDate>
  <CharactersWithSpaces>10625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2018-09-12T09:04:00Z</dcterms:created>
  <dc:creator>luochuantao</dc:creator>
  <cp:lastModifiedBy>易柯树</cp:lastModifiedBy>
  <cp:lastPrinted>2024-04-11T02:04:00Z</cp:lastPrinted>
  <dcterms:modified xsi:type="dcterms:W3CDTF">2024-04-11T02:46:03Z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0D3D1592DA584BB6817B02AE886BB220_13</vt:lpwstr>
  </property>
</Properties>
</file>