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eastAsiaTheme="minorEastAsia"/>
          <w:sz w:val="24"/>
          <w:szCs w:val="24"/>
          <w:u w:val="single"/>
          <w:lang w:eastAsia="zh-CN"/>
        </w:rPr>
      </w:pPr>
      <w:r>
        <w:rPr>
          <w:rFonts w:hint="eastAsia" w:ascii="宋体" w:hAnsi="宋体"/>
          <w:sz w:val="24"/>
          <w:szCs w:val="24"/>
        </w:rPr>
        <w:t>项目名称：</w:t>
      </w:r>
      <w:r>
        <w:rPr>
          <w:rFonts w:hint="eastAsia" w:ascii="宋体" w:hAnsi="宋体"/>
          <w:color w:val="0000FF"/>
          <w:sz w:val="24"/>
          <w:szCs w:val="24"/>
          <w:lang w:eastAsia="zh-CN"/>
        </w:rPr>
        <w:t>开阳县农村信用合作联社享有的曹江玲及付佳不良贷款债权及附属权益整体转让（第二次挂牌）</w:t>
      </w:r>
    </w:p>
    <w:p>
      <w:pPr>
        <w:spacing w:line="360" w:lineRule="auto"/>
        <w:ind w:left="3780" w:right="480" w:hanging="3780" w:hangingChars="1575"/>
        <w:rPr>
          <w:rFonts w:hint="default" w:ascii="宋体" w:hAnsi="宋体" w:eastAsiaTheme="minorEastAsia"/>
          <w:sz w:val="24"/>
          <w:szCs w:val="24"/>
          <w:lang w:val="en-US" w:eastAsia="zh-CN"/>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r>
        <w:rPr>
          <w:rFonts w:hint="eastAsia" w:ascii="宋体" w:hAnsi="宋体"/>
          <w:sz w:val="24"/>
          <w:szCs w:val="24"/>
          <w:lang w:val="en-US" w:eastAsia="zh-CN"/>
        </w:rPr>
        <w:t>/////</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4NjI5OTBmMDM1ODFlMDkzNDFlZTFiMWNhZWU5ZT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87254C3"/>
    <w:rsid w:val="155D6B66"/>
    <w:rsid w:val="19CB5514"/>
    <w:rsid w:val="259F2538"/>
    <w:rsid w:val="453A1FFD"/>
    <w:rsid w:val="567F7A29"/>
    <w:rsid w:val="65021510"/>
    <w:rsid w:val="7237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1614</Words>
  <Characters>1614</Characters>
  <Lines>12</Lines>
  <Paragraphs>3</Paragraphs>
  <TotalTime>3</TotalTime>
  <ScaleCrop>false</ScaleCrop>
  <LinksUpToDate>false</LinksUpToDate>
  <CharactersWithSpaces>1731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PewSg glTO</cp:lastModifiedBy>
  <dcterms:modified xsi:type="dcterms:W3CDTF">2022-12-14T02:05:57Z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C17419C6BFEA45908BF06DB585F061D0</vt:lpwstr>
  </property>
</Properties>
</file>