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方正小标宋简体" w:hAnsi="方正小标宋简体" w:eastAsia="方正小标宋简体" w:cs="方正小标宋简体"/>
          <w:color w:val="auto"/>
          <w:kern w:val="0"/>
          <w:highlight w:val="none"/>
        </w:rPr>
      </w:pPr>
      <w:r>
        <w:rPr>
          <w:rFonts w:hint="eastAsia" w:ascii="仿宋_GB2312" w:hAnsi="仿宋_GB2312" w:eastAsia="仿宋_GB2312" w:cs="仿宋_GB2312"/>
          <w:color w:val="auto"/>
          <w:sz w:val="28"/>
          <w:szCs w:val="28"/>
          <w:highlight w:val="none"/>
        </w:rPr>
        <w:t>合同编号：</w:t>
      </w:r>
      <w:r>
        <w:rPr>
          <w:rFonts w:hint="eastAsia" w:ascii="方正小标宋简体" w:hAnsi="方正小标宋简体" w:eastAsia="方正小标宋简体" w:cs="方正小标宋简体"/>
          <w:color w:val="auto"/>
          <w:kern w:val="0"/>
          <w:highlight w:val="none"/>
        </w:rPr>
        <w:t xml:space="preserve"> </w:t>
      </w:r>
    </w:p>
    <w:p>
      <w:pPr>
        <w:spacing w:before="100" w:beforeAutospacing="1" w:after="100" w:afterAutospacing="1" w:line="360" w:lineRule="auto"/>
        <w:ind w:right="577" w:firstLine="165" w:firstLineChars="59"/>
        <w:rPr>
          <w:rFonts w:asciiTheme="minorEastAsia" w:hAnsiTheme="minorEastAsia" w:eastAsiaTheme="minorEastAsia"/>
          <w:color w:val="auto"/>
          <w:sz w:val="28"/>
          <w:szCs w:val="28"/>
          <w:highlight w:val="none"/>
          <w:u w:val="single"/>
          <w:bdr w:val="single" w:color="auto" w:sz="4" w:space="0"/>
        </w:rPr>
      </w:pPr>
    </w:p>
    <w:p>
      <w:pPr>
        <w:spacing w:before="100" w:beforeAutospacing="1" w:after="100" w:afterAutospacing="1" w:line="360" w:lineRule="auto"/>
        <w:jc w:val="center"/>
        <w:rPr>
          <w:rFonts w:asciiTheme="minorEastAsia" w:hAnsiTheme="minorEastAsia" w:eastAsiaTheme="minorEastAsia"/>
          <w:color w:val="auto"/>
          <w:sz w:val="21"/>
          <w:szCs w:val="21"/>
          <w:highlight w:val="none"/>
        </w:rPr>
      </w:pPr>
    </w:p>
    <w:p>
      <w:pPr>
        <w:jc w:val="center"/>
        <w:rPr>
          <w:rFonts w:hint="eastAsia" w:ascii="方正小标宋简体" w:hAnsi="方正小标宋简体" w:eastAsia="方正小标宋简体" w:cs="方正小标宋简体"/>
          <w:b w:val="0"/>
          <w:bCs/>
          <w:color w:val="auto"/>
          <w:spacing w:val="20"/>
          <w:sz w:val="36"/>
          <w:szCs w:val="36"/>
          <w:highlight w:val="none"/>
        </w:rPr>
      </w:pPr>
      <w:r>
        <w:rPr>
          <w:rFonts w:hint="eastAsia" w:ascii="方正小标宋简体" w:hAnsi="方正小标宋简体" w:eastAsia="方正小标宋简体" w:cs="方正小标宋简体"/>
          <w:b w:val="0"/>
          <w:bCs/>
          <w:color w:val="auto"/>
          <w:spacing w:val="20"/>
          <w:sz w:val="36"/>
          <w:szCs w:val="36"/>
          <w:highlight w:val="none"/>
        </w:rPr>
        <w:t>贵阳轨道交通</w:t>
      </w:r>
      <w:r>
        <w:rPr>
          <w:rFonts w:hint="eastAsia" w:ascii="方正小标宋简体" w:hAnsi="方正小标宋简体" w:eastAsia="方正小标宋简体" w:cs="方正小标宋简体"/>
          <w:b w:val="0"/>
          <w:bCs/>
          <w:color w:val="auto"/>
          <w:spacing w:val="20"/>
          <w:sz w:val="36"/>
          <w:szCs w:val="36"/>
          <w:highlight w:val="none"/>
          <w:lang w:val="en-US" w:eastAsia="zh-CN"/>
        </w:rPr>
        <w:t>1</w:t>
      </w:r>
      <w:r>
        <w:rPr>
          <w:rFonts w:hint="eastAsia" w:ascii="方正小标宋简体" w:hAnsi="方正小标宋简体" w:eastAsia="方正小标宋简体" w:cs="方正小标宋简体"/>
          <w:b w:val="0"/>
          <w:bCs/>
          <w:color w:val="auto"/>
          <w:spacing w:val="20"/>
          <w:sz w:val="36"/>
          <w:szCs w:val="36"/>
          <w:highlight w:val="none"/>
          <w:lang w:eastAsia="zh-CN"/>
        </w:rPr>
        <w:t>号</w:t>
      </w:r>
      <w:r>
        <w:rPr>
          <w:rFonts w:hint="eastAsia" w:ascii="方正小标宋简体" w:hAnsi="方正小标宋简体" w:eastAsia="方正小标宋简体" w:cs="方正小标宋简体"/>
          <w:b w:val="0"/>
          <w:bCs/>
          <w:color w:val="auto"/>
          <w:spacing w:val="20"/>
          <w:sz w:val="36"/>
          <w:szCs w:val="36"/>
          <w:highlight w:val="none"/>
        </w:rPr>
        <w:t>线</w:t>
      </w:r>
      <w:r>
        <w:rPr>
          <w:rFonts w:hint="eastAsia" w:ascii="方正小标宋简体" w:hAnsi="方正小标宋简体" w:eastAsia="方正小标宋简体" w:cs="方正小标宋简体"/>
          <w:b w:val="0"/>
          <w:bCs/>
          <w:color w:val="auto"/>
          <w:spacing w:val="20"/>
          <w:sz w:val="36"/>
          <w:szCs w:val="36"/>
          <w:highlight w:val="none"/>
          <w:u w:val="none"/>
          <w:lang w:val="en-US" w:eastAsia="zh-CN"/>
        </w:rPr>
        <w:t>贵阳火车站</w:t>
      </w:r>
      <w:r>
        <w:rPr>
          <w:rFonts w:hint="eastAsia" w:ascii="方正小标宋简体" w:hAnsi="方正小标宋简体" w:eastAsia="方正小标宋简体" w:cs="方正小标宋简体"/>
          <w:b w:val="0"/>
          <w:bCs/>
          <w:color w:val="auto"/>
          <w:spacing w:val="20"/>
          <w:sz w:val="36"/>
          <w:szCs w:val="36"/>
          <w:highlight w:val="none"/>
        </w:rPr>
        <w:t>物业空间</w:t>
      </w:r>
      <w:r>
        <w:rPr>
          <w:rFonts w:hint="eastAsia" w:ascii="方正小标宋简体" w:hAnsi="方正小标宋简体" w:eastAsia="方正小标宋简体" w:cs="方正小标宋简体"/>
          <w:bCs/>
          <w:color w:val="auto"/>
          <w:spacing w:val="20"/>
          <w:kern w:val="2"/>
          <w:sz w:val="36"/>
          <w:szCs w:val="36"/>
          <w:highlight w:val="none"/>
          <w:lang w:val="en-US" w:eastAsia="zh-CN"/>
        </w:rPr>
        <w:t>使用权</w:t>
      </w:r>
    </w:p>
    <w:p>
      <w:pPr>
        <w:jc w:val="center"/>
        <w:rPr>
          <w:rFonts w:hint="eastAsia" w:ascii="方正小标宋简体" w:hAnsi="方正小标宋简体" w:eastAsia="方正小标宋简体" w:cs="方正小标宋简体"/>
          <w:b w:val="0"/>
          <w:bCs/>
          <w:color w:val="auto"/>
          <w:spacing w:val="20"/>
          <w:sz w:val="44"/>
          <w:szCs w:val="44"/>
          <w:highlight w:val="none"/>
          <w:lang w:eastAsia="zh-CN"/>
        </w:rPr>
      </w:pPr>
      <w:r>
        <w:rPr>
          <w:rFonts w:hint="eastAsia" w:ascii="方正小标宋简体" w:hAnsi="方正小标宋简体" w:eastAsia="方正小标宋简体" w:cs="方正小标宋简体"/>
          <w:b w:val="0"/>
          <w:bCs/>
          <w:color w:val="auto"/>
          <w:spacing w:val="20"/>
          <w:sz w:val="44"/>
          <w:szCs w:val="44"/>
          <w:highlight w:val="none"/>
        </w:rPr>
        <w:t>租赁合同</w:t>
      </w:r>
    </w:p>
    <w:p>
      <w:pPr>
        <w:jc w:val="center"/>
        <w:rPr>
          <w:rFonts w:hint="eastAsia" w:ascii="方正小标宋简体" w:hAnsi="方正小标宋简体" w:eastAsia="方正小标宋简体" w:cs="方正小标宋简体"/>
          <w:b w:val="0"/>
          <w:bCs/>
          <w:color w:val="auto"/>
          <w:spacing w:val="20"/>
          <w:sz w:val="21"/>
          <w:szCs w:val="21"/>
          <w:highlight w:val="none"/>
        </w:rPr>
      </w:pPr>
    </w:p>
    <w:p>
      <w:pPr>
        <w:widowControl/>
        <w:jc w:val="left"/>
        <w:rPr>
          <w:rFonts w:hint="eastAsia" w:ascii="方正小标宋简体" w:hAnsi="方正小标宋简体" w:eastAsia="方正小标宋简体" w:cs="方正小标宋简体"/>
          <w:b w:val="0"/>
          <w:bCs/>
          <w:color w:val="auto"/>
          <w:spacing w:val="20"/>
          <w:sz w:val="21"/>
          <w:szCs w:val="21"/>
          <w:highlight w:val="none"/>
        </w:rPr>
      </w:pPr>
    </w:p>
    <w:p>
      <w:pPr>
        <w:widowControl/>
        <w:jc w:val="left"/>
        <w:rPr>
          <w:rFonts w:hint="eastAsia" w:ascii="方正小标宋简体" w:hAnsi="方正小标宋简体" w:eastAsia="方正小标宋简体" w:cs="方正小标宋简体"/>
          <w:b w:val="0"/>
          <w:bCs/>
          <w:color w:val="auto"/>
          <w:spacing w:val="20"/>
          <w:sz w:val="21"/>
          <w:szCs w:val="21"/>
          <w:highlight w:val="none"/>
        </w:rPr>
      </w:pPr>
    </w:p>
    <w:p>
      <w:pPr>
        <w:widowControl/>
        <w:jc w:val="left"/>
        <w:rPr>
          <w:rFonts w:hint="eastAsia" w:ascii="方正小标宋简体" w:hAnsi="方正小标宋简体" w:eastAsia="方正小标宋简体" w:cs="方正小标宋简体"/>
          <w:b w:val="0"/>
          <w:bCs/>
          <w:color w:val="auto"/>
          <w:spacing w:val="20"/>
          <w:sz w:val="21"/>
          <w:szCs w:val="21"/>
          <w:highlight w:val="none"/>
        </w:rPr>
      </w:pPr>
    </w:p>
    <w:p>
      <w:pPr>
        <w:widowControl/>
        <w:jc w:val="left"/>
        <w:rPr>
          <w:rFonts w:hint="eastAsia" w:ascii="方正小标宋简体" w:hAnsi="方正小标宋简体" w:eastAsia="方正小标宋简体" w:cs="方正小标宋简体"/>
          <w:b w:val="0"/>
          <w:bCs/>
          <w:color w:val="auto"/>
          <w:spacing w:val="20"/>
          <w:sz w:val="21"/>
          <w:szCs w:val="21"/>
          <w:highlight w:val="none"/>
        </w:rPr>
      </w:pPr>
    </w:p>
    <w:p>
      <w:pPr>
        <w:widowControl/>
        <w:jc w:val="left"/>
        <w:rPr>
          <w:rFonts w:hint="eastAsia" w:ascii="方正小标宋简体" w:hAnsi="方正小标宋简体" w:eastAsia="方正小标宋简体" w:cs="方正小标宋简体"/>
          <w:b w:val="0"/>
          <w:bCs/>
          <w:color w:val="auto"/>
          <w:spacing w:val="20"/>
          <w:sz w:val="21"/>
          <w:szCs w:val="21"/>
          <w:highlight w:val="none"/>
        </w:rPr>
      </w:pPr>
    </w:p>
    <w:p>
      <w:pPr>
        <w:widowControl/>
        <w:jc w:val="left"/>
        <w:rPr>
          <w:rFonts w:hint="eastAsia" w:ascii="方正小标宋简体" w:hAnsi="方正小标宋简体" w:eastAsia="方正小标宋简体" w:cs="方正小标宋简体"/>
          <w:b w:val="0"/>
          <w:bCs/>
          <w:color w:val="auto"/>
          <w:spacing w:val="20"/>
          <w:sz w:val="21"/>
          <w:szCs w:val="21"/>
          <w:highlight w:val="none"/>
        </w:rPr>
      </w:pPr>
    </w:p>
    <w:p>
      <w:pPr>
        <w:widowControl/>
        <w:jc w:val="left"/>
        <w:rPr>
          <w:rFonts w:hint="eastAsia" w:ascii="方正小标宋简体" w:hAnsi="方正小标宋简体" w:eastAsia="方正小标宋简体" w:cs="方正小标宋简体"/>
          <w:b w:val="0"/>
          <w:bCs/>
          <w:color w:val="auto"/>
          <w:spacing w:val="20"/>
          <w:sz w:val="21"/>
          <w:szCs w:val="21"/>
          <w:highlight w:val="none"/>
        </w:rPr>
      </w:pPr>
    </w:p>
    <w:p>
      <w:pPr>
        <w:widowControl/>
        <w:jc w:val="left"/>
        <w:rPr>
          <w:rFonts w:hint="eastAsia" w:ascii="方正小标宋简体" w:hAnsi="方正小标宋简体" w:eastAsia="方正小标宋简体" w:cs="方正小标宋简体"/>
          <w:b w:val="0"/>
          <w:bCs/>
          <w:color w:val="auto"/>
          <w:spacing w:val="20"/>
          <w:sz w:val="21"/>
          <w:szCs w:val="21"/>
          <w:highlight w:val="none"/>
        </w:rPr>
      </w:pPr>
    </w:p>
    <w:p>
      <w:pPr>
        <w:jc w:val="center"/>
        <w:rPr>
          <w:rFonts w:hint="eastAsia" w:ascii="方正小标宋简体" w:hAnsi="方正小标宋简体" w:eastAsia="方正小标宋简体" w:cs="方正小标宋简体"/>
          <w:b w:val="0"/>
          <w:bCs/>
          <w:color w:val="auto"/>
          <w:sz w:val="30"/>
          <w:szCs w:val="30"/>
          <w:highlight w:val="none"/>
        </w:rPr>
      </w:pPr>
    </w:p>
    <w:p>
      <w:pPr>
        <w:ind w:firstLine="960" w:firstLineChars="320"/>
        <w:jc w:val="both"/>
        <w:rPr>
          <w:rFonts w:hint="default" w:ascii="方正小标宋简体" w:hAnsi="方正小标宋简体" w:eastAsia="方正小标宋简体" w:cs="方正小标宋简体"/>
          <w:b w:val="0"/>
          <w:bCs/>
          <w:color w:val="auto"/>
          <w:sz w:val="30"/>
          <w:szCs w:val="30"/>
          <w:highlight w:val="none"/>
          <w:lang w:val="en-US" w:eastAsia="zh-CN"/>
        </w:rPr>
      </w:pPr>
      <w:r>
        <w:rPr>
          <w:rFonts w:hint="eastAsia" w:ascii="方正小标宋简体" w:hAnsi="方正小标宋简体" w:eastAsia="方正小标宋简体" w:cs="方正小标宋简体"/>
          <w:b w:val="0"/>
          <w:bCs/>
          <w:color w:val="auto"/>
          <w:sz w:val="30"/>
          <w:szCs w:val="30"/>
          <w:highlight w:val="none"/>
          <w:lang w:eastAsia="zh-CN"/>
        </w:rPr>
        <w:t>甲方</w:t>
      </w:r>
      <w:r>
        <w:rPr>
          <w:rFonts w:hint="eastAsia" w:ascii="方正小标宋简体" w:hAnsi="方正小标宋简体" w:eastAsia="方正小标宋简体" w:cs="方正小标宋简体"/>
          <w:b w:val="0"/>
          <w:bCs/>
          <w:color w:val="auto"/>
          <w:sz w:val="30"/>
          <w:szCs w:val="30"/>
          <w:highlight w:val="none"/>
        </w:rPr>
        <w:t>：</w:t>
      </w:r>
      <w:r>
        <w:rPr>
          <w:rFonts w:hint="eastAsia" w:ascii="方正小标宋简体" w:hAnsi="方正小标宋简体" w:eastAsia="方正小标宋简体" w:cs="方正小标宋简体"/>
          <w:b w:val="0"/>
          <w:bCs/>
          <w:color w:val="auto"/>
          <w:sz w:val="30"/>
          <w:szCs w:val="30"/>
          <w:highlight w:val="none"/>
          <w:lang w:val="en-US" w:eastAsia="zh-CN"/>
        </w:rPr>
        <w:t>贵阳市公共交通投资运营集团有限公司</w:t>
      </w:r>
    </w:p>
    <w:p>
      <w:pPr>
        <w:ind w:firstLine="960" w:firstLineChars="320"/>
        <w:rPr>
          <w:rFonts w:hint="eastAsia" w:ascii="方正小标宋简体" w:hAnsi="方正小标宋简体" w:eastAsia="方正小标宋简体" w:cs="方正小标宋简体"/>
          <w:b w:val="0"/>
          <w:bCs/>
          <w:color w:val="auto"/>
          <w:sz w:val="30"/>
          <w:szCs w:val="30"/>
          <w:highlight w:val="none"/>
        </w:rPr>
      </w:pPr>
      <w:r>
        <w:rPr>
          <w:rFonts w:hint="eastAsia" w:ascii="方正小标宋简体" w:hAnsi="方正小标宋简体" w:eastAsia="方正小标宋简体" w:cs="方正小标宋简体"/>
          <w:b w:val="0"/>
          <w:bCs/>
          <w:color w:val="auto"/>
          <w:sz w:val="30"/>
          <w:szCs w:val="30"/>
          <w:highlight w:val="none"/>
          <w:lang w:eastAsia="zh-CN"/>
        </w:rPr>
        <w:t>乙方</w:t>
      </w:r>
      <w:r>
        <w:rPr>
          <w:rFonts w:hint="eastAsia" w:ascii="方正小标宋简体" w:hAnsi="方正小标宋简体" w:eastAsia="方正小标宋简体" w:cs="方正小标宋简体"/>
          <w:b w:val="0"/>
          <w:bCs/>
          <w:color w:val="auto"/>
          <w:sz w:val="30"/>
          <w:szCs w:val="30"/>
          <w:highlight w:val="none"/>
        </w:rPr>
        <w:t>：</w:t>
      </w:r>
    </w:p>
    <w:p>
      <w:pPr>
        <w:jc w:val="center"/>
        <w:rPr>
          <w:rFonts w:hint="eastAsia" w:ascii="方正小标宋简体" w:hAnsi="方正小标宋简体" w:eastAsia="方正小标宋简体" w:cs="方正小标宋简体"/>
          <w:b w:val="0"/>
          <w:bCs/>
          <w:color w:val="auto"/>
          <w:sz w:val="30"/>
          <w:szCs w:val="30"/>
          <w:highlight w:val="none"/>
          <w:lang w:val="en-US" w:eastAsia="zh-CN"/>
        </w:rPr>
      </w:pPr>
      <w:r>
        <w:rPr>
          <w:rFonts w:hint="eastAsia" w:ascii="方正小标宋简体" w:hAnsi="方正小标宋简体" w:eastAsia="方正小标宋简体" w:cs="方正小标宋简体"/>
          <w:b w:val="0"/>
          <w:bCs/>
          <w:color w:val="auto"/>
          <w:sz w:val="30"/>
          <w:szCs w:val="30"/>
          <w:highlight w:val="none"/>
        </w:rPr>
        <w:t>202</w:t>
      </w:r>
      <w:r>
        <w:rPr>
          <w:rFonts w:hint="eastAsia" w:ascii="方正小标宋简体" w:hAnsi="方正小标宋简体" w:eastAsia="方正小标宋简体" w:cs="方正小标宋简体"/>
          <w:b w:val="0"/>
          <w:bCs/>
          <w:color w:val="auto"/>
          <w:sz w:val="30"/>
          <w:szCs w:val="30"/>
          <w:highlight w:val="none"/>
          <w:lang w:val="en-US" w:eastAsia="zh-CN"/>
        </w:rPr>
        <w:t>4</w:t>
      </w:r>
      <w:bookmarkStart w:id="57" w:name="_GoBack"/>
      <w:bookmarkEnd w:id="57"/>
      <w:r>
        <w:rPr>
          <w:rFonts w:hint="eastAsia" w:ascii="方正小标宋简体" w:hAnsi="方正小标宋简体" w:eastAsia="方正小标宋简体" w:cs="方正小标宋简体"/>
          <w:b w:val="0"/>
          <w:bCs/>
          <w:color w:val="auto"/>
          <w:sz w:val="30"/>
          <w:szCs w:val="30"/>
          <w:highlight w:val="none"/>
        </w:rPr>
        <w:t>年</w:t>
      </w:r>
      <w:r>
        <w:rPr>
          <w:rFonts w:hint="eastAsia" w:ascii="方正小标宋简体" w:hAnsi="方正小标宋简体" w:eastAsia="方正小标宋简体" w:cs="方正小标宋简体"/>
          <w:b w:val="0"/>
          <w:bCs/>
          <w:color w:val="auto"/>
          <w:sz w:val="30"/>
          <w:szCs w:val="30"/>
          <w:highlight w:val="none"/>
          <w:lang w:val="en-US" w:eastAsia="zh-CN"/>
        </w:rPr>
        <w:t xml:space="preserve"> </w:t>
      </w:r>
      <w:r>
        <w:rPr>
          <w:rFonts w:hint="eastAsia" w:ascii="方正小标宋简体" w:hAnsi="方正小标宋简体" w:eastAsia="方正小标宋简体" w:cs="方正小标宋简体"/>
          <w:b w:val="0"/>
          <w:bCs/>
          <w:color w:val="auto"/>
          <w:sz w:val="30"/>
          <w:szCs w:val="30"/>
          <w:highlight w:val="none"/>
        </w:rPr>
        <w:t>月</w:t>
      </w:r>
      <w:r>
        <w:rPr>
          <w:rFonts w:hint="eastAsia" w:ascii="方正小标宋简体" w:hAnsi="方正小标宋简体" w:eastAsia="方正小标宋简体" w:cs="方正小标宋简体"/>
          <w:b w:val="0"/>
          <w:bCs/>
          <w:color w:val="auto"/>
          <w:sz w:val="30"/>
          <w:szCs w:val="30"/>
          <w:highlight w:val="none"/>
          <w:lang w:val="en-US" w:eastAsia="zh-CN"/>
        </w:rPr>
        <w:t xml:space="preserve"> 日</w:t>
      </w:r>
    </w:p>
    <w:p>
      <w:pPr>
        <w:pStyle w:val="7"/>
        <w:spacing w:line="360" w:lineRule="auto"/>
        <w:rPr>
          <w:rFonts w:ascii="仿宋_GB2312" w:hAnsi="宋体" w:eastAsia="仿宋_GB2312"/>
          <w:b/>
          <w:color w:val="auto"/>
          <w:sz w:val="28"/>
          <w:szCs w:val="28"/>
          <w:highlight w:val="none"/>
        </w:rPr>
        <w:sectPr>
          <w:pgSz w:w="11906" w:h="16838"/>
          <w:pgMar w:top="1440" w:right="1080" w:bottom="1440" w:left="1080" w:header="851" w:footer="992" w:gutter="0"/>
          <w:pgNumType w:start="1"/>
          <w:cols w:space="0" w:num="1"/>
          <w:docGrid w:type="lines" w:linePitch="312" w:charSpace="0"/>
        </w:sectPr>
      </w:pPr>
    </w:p>
    <w:p>
      <w:pPr>
        <w:pStyle w:val="7"/>
        <w:spacing w:line="360" w:lineRule="auto"/>
        <w:rPr>
          <w:rFonts w:ascii="仿宋_GB2312" w:hAnsi="宋体" w:eastAsia="仿宋_GB2312"/>
          <w:b/>
          <w:color w:val="auto"/>
          <w:sz w:val="28"/>
          <w:szCs w:val="28"/>
          <w:highlight w:val="none"/>
        </w:rPr>
      </w:pPr>
    </w:p>
    <w:p>
      <w:pPr>
        <w:pStyle w:val="7"/>
        <w:spacing w:line="360" w:lineRule="auto"/>
        <w:rPr>
          <w:rFonts w:ascii="仿宋_GB2312" w:hAnsi="宋体" w:eastAsia="仿宋_GB2312"/>
          <w:b/>
          <w:color w:val="auto"/>
          <w:sz w:val="28"/>
          <w:szCs w:val="28"/>
          <w:highlight w:val="none"/>
        </w:rPr>
      </w:pPr>
    </w:p>
    <w:p>
      <w:pPr>
        <w:pStyle w:val="7"/>
        <w:spacing w:line="360" w:lineRule="auto"/>
        <w:rPr>
          <w:rFonts w:ascii="仿宋_GB2312" w:hAnsi="宋体" w:eastAsia="仿宋_GB2312"/>
          <w:b/>
          <w:color w:val="auto"/>
          <w:sz w:val="28"/>
          <w:szCs w:val="28"/>
          <w:highlight w:val="none"/>
        </w:rPr>
      </w:pPr>
    </w:p>
    <w:p>
      <w:pPr>
        <w:pStyle w:val="7"/>
        <w:spacing w:line="360" w:lineRule="auto"/>
        <w:rPr>
          <w:rFonts w:ascii="仿宋_GB2312" w:hAnsi="宋体" w:eastAsia="仿宋_GB2312"/>
          <w:b/>
          <w:color w:val="auto"/>
          <w:sz w:val="28"/>
          <w:szCs w:val="28"/>
          <w:highlight w:val="none"/>
        </w:rPr>
      </w:pPr>
    </w:p>
    <w:p>
      <w:pPr>
        <w:pStyle w:val="7"/>
        <w:spacing w:line="360" w:lineRule="auto"/>
        <w:rPr>
          <w:rFonts w:ascii="仿宋_GB2312" w:hAnsi="宋体" w:eastAsia="仿宋_GB2312"/>
          <w:b/>
          <w:color w:val="auto"/>
          <w:sz w:val="28"/>
          <w:szCs w:val="28"/>
          <w:highlight w:val="none"/>
        </w:rPr>
      </w:pPr>
    </w:p>
    <w:p>
      <w:pPr>
        <w:pStyle w:val="7"/>
        <w:spacing w:line="360" w:lineRule="auto"/>
        <w:rPr>
          <w:rFonts w:ascii="仿宋_GB2312" w:hAnsi="宋体" w:eastAsia="仿宋_GB2312"/>
          <w:b/>
          <w:color w:val="auto"/>
          <w:sz w:val="28"/>
          <w:szCs w:val="28"/>
          <w:highlight w:val="none"/>
        </w:rPr>
      </w:pPr>
    </w:p>
    <w:p>
      <w:pPr>
        <w:pStyle w:val="7"/>
        <w:spacing w:line="360" w:lineRule="auto"/>
        <w:rPr>
          <w:rFonts w:ascii="仿宋_GB2312" w:hAnsi="宋体" w:eastAsia="仿宋_GB2312"/>
          <w:b/>
          <w:color w:val="auto"/>
          <w:sz w:val="28"/>
          <w:szCs w:val="28"/>
          <w:highlight w:val="none"/>
        </w:rPr>
      </w:pPr>
    </w:p>
    <w:p>
      <w:pPr>
        <w:pStyle w:val="7"/>
        <w:spacing w:line="360" w:lineRule="auto"/>
        <w:rPr>
          <w:rFonts w:ascii="仿宋_GB2312" w:hAnsi="宋体" w:eastAsia="仿宋_GB2312"/>
          <w:b/>
          <w:color w:val="auto"/>
          <w:sz w:val="28"/>
          <w:szCs w:val="28"/>
          <w:highlight w:val="none"/>
        </w:rPr>
      </w:pPr>
    </w:p>
    <w:p>
      <w:pPr>
        <w:pStyle w:val="7"/>
        <w:spacing w:line="360" w:lineRule="auto"/>
        <w:rPr>
          <w:rFonts w:ascii="仿宋_GB2312" w:hAnsi="宋体" w:eastAsia="仿宋_GB2312"/>
          <w:b/>
          <w:color w:val="auto"/>
          <w:sz w:val="28"/>
          <w:szCs w:val="28"/>
          <w:highlight w:val="none"/>
        </w:rPr>
      </w:pPr>
    </w:p>
    <w:p>
      <w:pPr>
        <w:pStyle w:val="7"/>
        <w:spacing w:line="360" w:lineRule="auto"/>
        <w:rPr>
          <w:rFonts w:ascii="仿宋_GB2312" w:hAnsi="宋体" w:eastAsia="仿宋_GB2312"/>
          <w:b/>
          <w:color w:val="auto"/>
          <w:sz w:val="28"/>
          <w:szCs w:val="28"/>
          <w:highlight w:val="none"/>
        </w:rPr>
      </w:pPr>
    </w:p>
    <w:p>
      <w:pPr>
        <w:pStyle w:val="7"/>
        <w:spacing w:line="360" w:lineRule="auto"/>
        <w:rPr>
          <w:rFonts w:ascii="仿宋_GB2312" w:hAnsi="宋体" w:eastAsia="仿宋_GB2312"/>
          <w:b/>
          <w:color w:val="auto"/>
          <w:sz w:val="28"/>
          <w:szCs w:val="28"/>
          <w:highlight w:val="none"/>
        </w:rPr>
      </w:pPr>
    </w:p>
    <w:p>
      <w:pPr>
        <w:pStyle w:val="7"/>
        <w:spacing w:line="360" w:lineRule="auto"/>
        <w:rPr>
          <w:rFonts w:ascii="仿宋_GB2312" w:hAnsi="宋体" w:eastAsia="仿宋_GB2312"/>
          <w:b/>
          <w:color w:val="auto"/>
          <w:sz w:val="28"/>
          <w:szCs w:val="28"/>
          <w:highlight w:val="none"/>
        </w:rPr>
      </w:pPr>
    </w:p>
    <w:p>
      <w:pPr>
        <w:pStyle w:val="7"/>
        <w:spacing w:line="360" w:lineRule="auto"/>
        <w:rPr>
          <w:rFonts w:ascii="仿宋_GB2312" w:hAnsi="宋体" w:eastAsia="仿宋_GB2312"/>
          <w:b/>
          <w:color w:val="auto"/>
          <w:sz w:val="28"/>
          <w:szCs w:val="28"/>
          <w:highlight w:val="none"/>
        </w:rPr>
      </w:pPr>
    </w:p>
    <w:p>
      <w:pPr>
        <w:pStyle w:val="7"/>
        <w:spacing w:line="360" w:lineRule="auto"/>
        <w:rPr>
          <w:rFonts w:ascii="仿宋_GB2312" w:hAnsi="宋体" w:eastAsia="仿宋_GB2312"/>
          <w:b/>
          <w:color w:val="auto"/>
          <w:sz w:val="28"/>
          <w:szCs w:val="28"/>
          <w:highlight w:val="none"/>
        </w:rPr>
      </w:pPr>
    </w:p>
    <w:p>
      <w:pPr>
        <w:pStyle w:val="7"/>
        <w:spacing w:line="360" w:lineRule="auto"/>
        <w:rPr>
          <w:rFonts w:ascii="仿宋_GB2312" w:hAnsi="宋体" w:eastAsia="仿宋_GB2312"/>
          <w:b/>
          <w:color w:val="auto"/>
          <w:sz w:val="28"/>
          <w:szCs w:val="28"/>
          <w:highlight w:val="none"/>
        </w:rPr>
      </w:pPr>
    </w:p>
    <w:p>
      <w:pPr>
        <w:pStyle w:val="7"/>
        <w:spacing w:line="360" w:lineRule="auto"/>
        <w:rPr>
          <w:rFonts w:ascii="仿宋_GB2312" w:hAnsi="宋体" w:eastAsia="仿宋_GB2312"/>
          <w:b/>
          <w:color w:val="auto"/>
          <w:sz w:val="28"/>
          <w:szCs w:val="28"/>
          <w:highlight w:val="none"/>
        </w:rPr>
      </w:pPr>
    </w:p>
    <w:p>
      <w:pPr>
        <w:pStyle w:val="7"/>
        <w:spacing w:line="360" w:lineRule="auto"/>
        <w:rPr>
          <w:rFonts w:ascii="仿宋_GB2312" w:hAnsi="宋体" w:eastAsia="仿宋_GB2312"/>
          <w:b/>
          <w:color w:val="auto"/>
          <w:sz w:val="28"/>
          <w:szCs w:val="28"/>
          <w:highlight w:val="none"/>
        </w:rPr>
      </w:pPr>
    </w:p>
    <w:p>
      <w:pPr>
        <w:pStyle w:val="7"/>
        <w:spacing w:line="360" w:lineRule="auto"/>
        <w:rPr>
          <w:rFonts w:ascii="仿宋_GB2312" w:hAnsi="宋体" w:eastAsia="仿宋_GB2312"/>
          <w:b/>
          <w:color w:val="auto"/>
          <w:sz w:val="28"/>
          <w:szCs w:val="28"/>
          <w:highlight w:val="none"/>
        </w:rPr>
      </w:pPr>
    </w:p>
    <w:p>
      <w:pPr>
        <w:pStyle w:val="7"/>
        <w:spacing w:line="360" w:lineRule="auto"/>
        <w:rPr>
          <w:rFonts w:ascii="仿宋_GB2312" w:hAnsi="宋体" w:eastAsia="仿宋_GB2312"/>
          <w:b/>
          <w:color w:val="auto"/>
          <w:sz w:val="28"/>
          <w:szCs w:val="28"/>
          <w:highlight w:val="none"/>
        </w:rPr>
      </w:pPr>
    </w:p>
    <w:p>
      <w:pPr>
        <w:pStyle w:val="7"/>
        <w:spacing w:line="360" w:lineRule="auto"/>
        <w:rPr>
          <w:rFonts w:ascii="仿宋_GB2312" w:hAnsi="宋体" w:eastAsia="仿宋_GB2312"/>
          <w:b/>
          <w:color w:val="auto"/>
          <w:sz w:val="28"/>
          <w:szCs w:val="28"/>
          <w:highlight w:val="none"/>
        </w:rPr>
      </w:pPr>
    </w:p>
    <w:p>
      <w:pPr>
        <w:pStyle w:val="7"/>
        <w:spacing w:line="360" w:lineRule="auto"/>
        <w:rPr>
          <w:rFonts w:ascii="仿宋_GB2312" w:hAnsi="宋体" w:eastAsia="仿宋_GB2312"/>
          <w:b/>
          <w:color w:val="auto"/>
          <w:sz w:val="28"/>
          <w:szCs w:val="28"/>
          <w:highlight w:val="none"/>
        </w:rPr>
      </w:pPr>
    </w:p>
    <w:p>
      <w:pPr>
        <w:pStyle w:val="7"/>
        <w:spacing w:line="360" w:lineRule="auto"/>
        <w:rPr>
          <w:rFonts w:ascii="仿宋_GB2312" w:hAnsi="宋体" w:eastAsia="仿宋_GB2312"/>
          <w:b/>
          <w:color w:val="auto"/>
          <w:sz w:val="28"/>
          <w:szCs w:val="28"/>
          <w:highlight w:val="none"/>
        </w:rPr>
      </w:pPr>
    </w:p>
    <w:p>
      <w:pPr>
        <w:pStyle w:val="7"/>
        <w:spacing w:line="360" w:lineRule="auto"/>
        <w:rPr>
          <w:rFonts w:ascii="仿宋_GB2312" w:hAnsi="宋体" w:eastAsia="仿宋_GB2312"/>
          <w:b/>
          <w:color w:val="auto"/>
          <w:sz w:val="28"/>
          <w:szCs w:val="28"/>
          <w:highlight w:val="none"/>
        </w:rPr>
        <w:sectPr>
          <w:pgSz w:w="11906" w:h="16838"/>
          <w:pgMar w:top="1440" w:right="1080" w:bottom="1440" w:left="1080" w:header="851" w:footer="992" w:gutter="0"/>
          <w:pgNumType w:start="1"/>
          <w:cols w:space="0" w:num="1"/>
          <w:docGrid w:type="lines" w:linePitch="312" w:charSpace="0"/>
        </w:sectPr>
      </w:pPr>
    </w:p>
    <w:p>
      <w:pPr>
        <w:pStyle w:val="7"/>
        <w:spacing w:line="360" w:lineRule="auto"/>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lang w:eastAsia="zh-CN"/>
        </w:rPr>
        <w:t>甲方</w:t>
      </w:r>
      <w:r>
        <w:rPr>
          <w:rFonts w:hint="eastAsia" w:ascii="仿宋_GB2312" w:hAnsi="宋体" w:eastAsia="仿宋_GB2312"/>
          <w:b/>
          <w:color w:val="auto"/>
          <w:sz w:val="28"/>
          <w:szCs w:val="28"/>
          <w:highlight w:val="none"/>
        </w:rPr>
        <w:t>（全称）：</w:t>
      </w:r>
    </w:p>
    <w:p>
      <w:pPr>
        <w:pStyle w:val="7"/>
        <w:spacing w:line="360" w:lineRule="auto"/>
        <w:rPr>
          <w:rFonts w:ascii="仿宋_GB2312" w:hAnsi="宋体" w:eastAsia="仿宋_GB2312"/>
          <w:b/>
          <w:color w:val="auto"/>
          <w:sz w:val="28"/>
          <w:szCs w:val="28"/>
          <w:highlight w:val="none"/>
        </w:rPr>
      </w:pPr>
      <w:r>
        <w:rPr>
          <w:rFonts w:ascii="仿宋_GB2312" w:hAnsi="宋体" w:eastAsia="仿宋_GB2312"/>
          <w:b/>
          <w:color w:val="auto"/>
          <w:sz w:val="28"/>
          <w:szCs w:val="28"/>
          <w:highlight w:val="none"/>
        </w:rPr>
        <w:t>法</w:t>
      </w:r>
      <w:r>
        <w:rPr>
          <w:rFonts w:hint="eastAsia" w:ascii="仿宋_GB2312" w:hAnsi="宋体" w:eastAsia="仿宋_GB2312"/>
          <w:b/>
          <w:color w:val="auto"/>
          <w:sz w:val="28"/>
          <w:szCs w:val="28"/>
          <w:highlight w:val="none"/>
        </w:rPr>
        <w:t>定代表</w:t>
      </w:r>
      <w:r>
        <w:rPr>
          <w:rFonts w:ascii="仿宋_GB2312" w:hAnsi="宋体" w:eastAsia="仿宋_GB2312"/>
          <w:b/>
          <w:color w:val="auto"/>
          <w:sz w:val="28"/>
          <w:szCs w:val="28"/>
          <w:highlight w:val="none"/>
        </w:rPr>
        <w:t>人：</w:t>
      </w:r>
    </w:p>
    <w:p>
      <w:pPr>
        <w:pStyle w:val="7"/>
        <w:spacing w:line="360" w:lineRule="auto"/>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lang w:eastAsia="zh-CN"/>
        </w:rPr>
        <w:t>甲方</w:t>
      </w:r>
      <w:r>
        <w:rPr>
          <w:rFonts w:ascii="仿宋_GB2312" w:hAnsi="宋体" w:eastAsia="仿宋_GB2312"/>
          <w:b/>
          <w:color w:val="auto"/>
          <w:sz w:val="28"/>
          <w:szCs w:val="28"/>
          <w:highlight w:val="none"/>
        </w:rPr>
        <w:t>证照名称：</w:t>
      </w:r>
      <w:r>
        <w:rPr>
          <w:rFonts w:hint="eastAsia" w:ascii="仿宋_GB2312" w:hAnsi="宋体" w:eastAsia="仿宋_GB2312"/>
          <w:b/>
          <w:color w:val="auto"/>
          <w:sz w:val="28"/>
          <w:szCs w:val="28"/>
          <w:highlight w:val="none"/>
        </w:rPr>
        <w:t>营业执照</w:t>
      </w:r>
    </w:p>
    <w:p>
      <w:pPr>
        <w:pStyle w:val="7"/>
        <w:spacing w:line="360" w:lineRule="auto"/>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lang w:eastAsia="zh-CN"/>
        </w:rPr>
        <w:t>甲方</w:t>
      </w:r>
      <w:r>
        <w:rPr>
          <w:rFonts w:hint="eastAsia" w:ascii="仿宋_GB2312" w:hAnsi="宋体" w:eastAsia="仿宋_GB2312"/>
          <w:b/>
          <w:color w:val="auto"/>
          <w:sz w:val="28"/>
          <w:szCs w:val="28"/>
          <w:highlight w:val="none"/>
        </w:rPr>
        <w:t>纳税人识别号</w:t>
      </w:r>
      <w:r>
        <w:rPr>
          <w:rFonts w:ascii="仿宋_GB2312" w:hAnsi="宋体" w:eastAsia="仿宋_GB2312"/>
          <w:b/>
          <w:color w:val="auto"/>
          <w:sz w:val="28"/>
          <w:szCs w:val="28"/>
          <w:highlight w:val="none"/>
        </w:rPr>
        <w:t>/统一社会信用代码：</w:t>
      </w:r>
    </w:p>
    <w:p>
      <w:pPr>
        <w:pStyle w:val="7"/>
        <w:spacing w:line="360" w:lineRule="auto"/>
        <w:rPr>
          <w:rFonts w:hint="eastAsia"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住所：</w:t>
      </w:r>
    </w:p>
    <w:p>
      <w:pPr>
        <w:pStyle w:val="7"/>
        <w:spacing w:line="360" w:lineRule="auto"/>
        <w:rPr>
          <w:rFonts w:hint="default" w:ascii="仿宋_GB2312" w:hAnsi="宋体" w:eastAsia="仿宋_GB2312"/>
          <w:b/>
          <w:color w:val="auto"/>
          <w:sz w:val="28"/>
          <w:szCs w:val="28"/>
          <w:highlight w:val="none"/>
          <w:lang w:val="en-US" w:eastAsia="zh-CN"/>
        </w:rPr>
      </w:pPr>
      <w:r>
        <w:rPr>
          <w:rFonts w:hint="eastAsia" w:ascii="仿宋_GB2312" w:hAnsi="宋体" w:eastAsia="仿宋_GB2312"/>
          <w:b/>
          <w:color w:val="auto"/>
          <w:sz w:val="28"/>
          <w:szCs w:val="28"/>
          <w:highlight w:val="none"/>
          <w:lang w:val="en-US" w:eastAsia="zh-CN"/>
        </w:rPr>
        <w:t>电子邮箱：</w:t>
      </w:r>
    </w:p>
    <w:p>
      <w:pPr>
        <w:pStyle w:val="7"/>
        <w:spacing w:line="360" w:lineRule="auto"/>
        <w:rPr>
          <w:rFonts w:ascii="仿宋_GB2312" w:hAnsi="宋体" w:eastAsia="仿宋_GB2312"/>
          <w:b/>
          <w:color w:val="auto"/>
          <w:sz w:val="28"/>
          <w:szCs w:val="28"/>
          <w:highlight w:val="none"/>
        </w:rPr>
      </w:pPr>
    </w:p>
    <w:p>
      <w:pPr>
        <w:pStyle w:val="7"/>
        <w:spacing w:line="360" w:lineRule="auto"/>
        <w:rPr>
          <w:rFonts w:ascii="仿宋_GB2312" w:hAnsi="宋体" w:eastAsia="仿宋_GB2312"/>
          <w:b/>
          <w:color w:val="auto"/>
          <w:sz w:val="28"/>
          <w:szCs w:val="28"/>
          <w:highlight w:val="none"/>
        </w:rPr>
      </w:pPr>
    </w:p>
    <w:p>
      <w:pPr>
        <w:pStyle w:val="7"/>
        <w:spacing w:line="360" w:lineRule="auto"/>
        <w:rPr>
          <w:rFonts w:ascii="仿宋_GB2312" w:hAnsi="宋体" w:eastAsia="仿宋_GB2312"/>
          <w:b/>
          <w:color w:val="auto"/>
          <w:sz w:val="28"/>
          <w:szCs w:val="28"/>
          <w:highlight w:val="none"/>
        </w:rPr>
      </w:pPr>
    </w:p>
    <w:p>
      <w:pPr>
        <w:pStyle w:val="7"/>
        <w:spacing w:line="360" w:lineRule="auto"/>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lang w:eastAsia="zh-CN"/>
        </w:rPr>
        <w:t>乙方</w:t>
      </w:r>
      <w:r>
        <w:rPr>
          <w:rFonts w:hint="eastAsia" w:ascii="仿宋_GB2312" w:hAnsi="宋体" w:eastAsia="仿宋_GB2312"/>
          <w:b/>
          <w:color w:val="auto"/>
          <w:sz w:val="28"/>
          <w:szCs w:val="28"/>
          <w:highlight w:val="none"/>
        </w:rPr>
        <w:t>（全称）：</w:t>
      </w:r>
    </w:p>
    <w:p>
      <w:pPr>
        <w:pStyle w:val="7"/>
        <w:spacing w:line="360" w:lineRule="auto"/>
        <w:rPr>
          <w:rFonts w:ascii="仿宋_GB2312" w:hAnsi="宋体" w:eastAsia="仿宋_GB2312"/>
          <w:b/>
          <w:color w:val="auto"/>
          <w:sz w:val="28"/>
          <w:szCs w:val="28"/>
          <w:highlight w:val="none"/>
        </w:rPr>
      </w:pPr>
      <w:r>
        <w:rPr>
          <w:rFonts w:ascii="仿宋_GB2312" w:hAnsi="宋体" w:eastAsia="仿宋_GB2312"/>
          <w:b/>
          <w:color w:val="auto"/>
          <w:sz w:val="28"/>
          <w:szCs w:val="28"/>
          <w:highlight w:val="none"/>
        </w:rPr>
        <w:t>法</w:t>
      </w:r>
      <w:r>
        <w:rPr>
          <w:rFonts w:hint="eastAsia" w:ascii="仿宋_GB2312" w:hAnsi="宋体" w:eastAsia="仿宋_GB2312"/>
          <w:b/>
          <w:color w:val="auto"/>
          <w:sz w:val="28"/>
          <w:szCs w:val="28"/>
          <w:highlight w:val="none"/>
        </w:rPr>
        <w:t>定代表</w:t>
      </w:r>
      <w:r>
        <w:rPr>
          <w:rFonts w:ascii="仿宋_GB2312" w:hAnsi="宋体" w:eastAsia="仿宋_GB2312"/>
          <w:b/>
          <w:color w:val="auto"/>
          <w:sz w:val="28"/>
          <w:szCs w:val="28"/>
          <w:highlight w:val="none"/>
        </w:rPr>
        <w:t>人：</w:t>
      </w:r>
    </w:p>
    <w:p>
      <w:pPr>
        <w:pStyle w:val="7"/>
        <w:spacing w:line="360" w:lineRule="auto"/>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lang w:eastAsia="zh-CN"/>
        </w:rPr>
        <w:t>乙方</w:t>
      </w:r>
      <w:r>
        <w:rPr>
          <w:rFonts w:ascii="仿宋_GB2312" w:hAnsi="宋体" w:eastAsia="仿宋_GB2312"/>
          <w:b/>
          <w:color w:val="auto"/>
          <w:sz w:val="28"/>
          <w:szCs w:val="28"/>
          <w:highlight w:val="none"/>
        </w:rPr>
        <w:t>证照名称：</w:t>
      </w:r>
    </w:p>
    <w:p>
      <w:pPr>
        <w:pStyle w:val="7"/>
        <w:spacing w:line="360" w:lineRule="auto"/>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lang w:eastAsia="zh-CN"/>
        </w:rPr>
        <w:t>乙方</w:t>
      </w:r>
      <w:r>
        <w:rPr>
          <w:rFonts w:hint="eastAsia" w:ascii="仿宋_GB2312" w:hAnsi="宋体" w:eastAsia="仿宋_GB2312"/>
          <w:b/>
          <w:color w:val="auto"/>
          <w:sz w:val="28"/>
          <w:szCs w:val="28"/>
          <w:highlight w:val="none"/>
        </w:rPr>
        <w:t>纳税人识别号</w:t>
      </w:r>
      <w:r>
        <w:rPr>
          <w:rFonts w:ascii="仿宋_GB2312" w:hAnsi="宋体" w:eastAsia="仿宋_GB2312"/>
          <w:b/>
          <w:color w:val="auto"/>
          <w:sz w:val="28"/>
          <w:szCs w:val="28"/>
          <w:highlight w:val="none"/>
        </w:rPr>
        <w:t>/统一社会信用代码：</w:t>
      </w:r>
    </w:p>
    <w:p>
      <w:pPr>
        <w:pStyle w:val="7"/>
        <w:spacing w:line="360" w:lineRule="auto"/>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住所：</w:t>
      </w:r>
    </w:p>
    <w:p>
      <w:pPr>
        <w:pStyle w:val="7"/>
        <w:spacing w:line="360" w:lineRule="auto"/>
        <w:rPr>
          <w:rFonts w:hint="default" w:ascii="仿宋_GB2312" w:hAnsi="宋体" w:eastAsia="仿宋_GB2312"/>
          <w:b/>
          <w:color w:val="auto"/>
          <w:sz w:val="28"/>
          <w:szCs w:val="28"/>
          <w:highlight w:val="none"/>
          <w:lang w:val="en-US" w:eastAsia="zh-CN"/>
        </w:rPr>
      </w:pPr>
      <w:r>
        <w:rPr>
          <w:rFonts w:hint="eastAsia" w:ascii="仿宋_GB2312" w:hAnsi="宋体" w:eastAsia="仿宋_GB2312"/>
          <w:b/>
          <w:color w:val="auto"/>
          <w:sz w:val="28"/>
          <w:szCs w:val="28"/>
          <w:highlight w:val="none"/>
          <w:lang w:val="en-US" w:eastAsia="zh-CN"/>
        </w:rPr>
        <w:t>电子邮箱：</w:t>
      </w:r>
    </w:p>
    <w:p>
      <w:pPr>
        <w:overflowPunct w:val="0"/>
        <w:autoSpaceDE w:val="0"/>
        <w:ind w:firstLine="520" w:firstLineChars="186"/>
        <w:jc w:val="left"/>
        <w:rPr>
          <w:rFonts w:hint="eastAsia" w:ascii="仿宋_GB2312" w:hAnsi="宋体" w:eastAsia="仿宋_GB2312"/>
          <w:color w:val="auto"/>
          <w:sz w:val="28"/>
          <w:szCs w:val="28"/>
          <w:highlight w:val="none"/>
        </w:rPr>
      </w:pPr>
    </w:p>
    <w:p>
      <w:pPr>
        <w:overflowPunct w:val="0"/>
        <w:autoSpaceDE w:val="0"/>
        <w:ind w:firstLine="520" w:firstLineChars="186"/>
        <w:jc w:val="left"/>
        <w:rPr>
          <w:rFonts w:hint="eastAsia" w:ascii="仿宋_GB2312" w:hAnsi="宋体" w:eastAsia="仿宋_GB2312"/>
          <w:color w:val="auto"/>
          <w:sz w:val="28"/>
          <w:szCs w:val="28"/>
          <w:highlight w:val="none"/>
        </w:rPr>
      </w:pPr>
    </w:p>
    <w:p>
      <w:pPr>
        <w:overflowPunct w:val="0"/>
        <w:autoSpaceDE w:val="0"/>
        <w:ind w:firstLine="520" w:firstLineChars="186"/>
        <w:jc w:val="left"/>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lang w:eastAsia="zh-CN"/>
        </w:rPr>
        <w:t>乙方</w:t>
      </w:r>
      <w:r>
        <w:rPr>
          <w:rFonts w:hint="eastAsia" w:ascii="仿宋_GB2312" w:hAnsi="宋体" w:eastAsia="仿宋_GB2312"/>
          <w:color w:val="auto"/>
          <w:sz w:val="28"/>
          <w:szCs w:val="28"/>
          <w:highlight w:val="none"/>
        </w:rPr>
        <w:t>在充分理解轨道交通</w:t>
      </w:r>
      <w:r>
        <w:rPr>
          <w:rFonts w:hint="eastAsia" w:ascii="仿宋_GB2312" w:hAnsi="宋体" w:eastAsia="仿宋_GB2312"/>
          <w:color w:val="auto"/>
          <w:sz w:val="28"/>
          <w:szCs w:val="28"/>
          <w:highlight w:val="none"/>
          <w:lang w:val="en-US" w:eastAsia="zh-CN"/>
        </w:rPr>
        <w:t>1号线物业空间</w:t>
      </w:r>
      <w:r>
        <w:rPr>
          <w:rFonts w:hint="eastAsia" w:ascii="仿宋_GB2312" w:hAnsi="宋体" w:eastAsia="仿宋_GB2312"/>
          <w:color w:val="auto"/>
          <w:sz w:val="28"/>
          <w:szCs w:val="28"/>
          <w:highlight w:val="none"/>
        </w:rPr>
        <w:t>为城市轨道交通的衍生资源，具有地下</w:t>
      </w:r>
      <w:r>
        <w:rPr>
          <w:rFonts w:hint="eastAsia" w:ascii="仿宋_GB2312" w:hAnsi="宋体" w:eastAsia="仿宋_GB2312"/>
          <w:color w:val="auto"/>
          <w:sz w:val="28"/>
          <w:szCs w:val="28"/>
          <w:highlight w:val="none"/>
          <w:lang w:val="en-US" w:eastAsia="zh-CN"/>
        </w:rPr>
        <w:t>公益</w:t>
      </w:r>
      <w:r>
        <w:rPr>
          <w:rFonts w:hint="eastAsia" w:ascii="仿宋_GB2312" w:hAnsi="宋体" w:eastAsia="仿宋_GB2312"/>
          <w:color w:val="auto"/>
          <w:sz w:val="28"/>
          <w:szCs w:val="28"/>
          <w:highlight w:val="none"/>
        </w:rPr>
        <w:t>等特殊经营环境的前提下，自愿参加公开挂牌交易</w:t>
      </w:r>
      <w:r>
        <w:rPr>
          <w:rFonts w:hint="eastAsia" w:ascii="仿宋_GB2312" w:hAnsi="宋体" w:eastAsia="仿宋_GB2312"/>
          <w:color w:val="auto"/>
          <w:sz w:val="28"/>
          <w:szCs w:val="28"/>
          <w:highlight w:val="none"/>
          <w:lang w:val="en-US" w:eastAsia="zh-CN"/>
        </w:rPr>
        <w:t>竞价</w:t>
      </w:r>
      <w:r>
        <w:rPr>
          <w:rFonts w:hint="eastAsia" w:ascii="仿宋_GB2312" w:hAnsi="宋体" w:eastAsia="仿宋_GB2312"/>
          <w:color w:val="auto"/>
          <w:sz w:val="28"/>
          <w:szCs w:val="28"/>
          <w:highlight w:val="none"/>
        </w:rPr>
        <w:t>并依法获得成交。根据《中华人民共和国民法典》等法律法规规定，双方本着平等自愿、诚实信用的原则，就</w:t>
      </w:r>
      <w:r>
        <w:rPr>
          <w:rFonts w:hint="eastAsia" w:ascii="仿宋_GB2312" w:hAnsi="宋体" w:eastAsia="仿宋_GB2312"/>
          <w:color w:val="auto"/>
          <w:sz w:val="28"/>
          <w:szCs w:val="28"/>
          <w:highlight w:val="none"/>
          <w:lang w:val="en-US" w:eastAsia="zh-CN"/>
        </w:rPr>
        <w:t>1号线贵阳火车站</w:t>
      </w:r>
      <w:r>
        <w:rPr>
          <w:rFonts w:hint="eastAsia" w:ascii="仿宋_GB2312" w:hAnsi="宋体" w:eastAsia="仿宋_GB2312"/>
          <w:color w:val="auto"/>
          <w:sz w:val="28"/>
          <w:szCs w:val="28"/>
          <w:highlight w:val="none"/>
        </w:rPr>
        <w:t>物业空间</w:t>
      </w:r>
      <w:r>
        <w:rPr>
          <w:rFonts w:hint="eastAsia" w:ascii="仿宋_GB2312" w:hAnsi="宋体" w:eastAsia="仿宋_GB2312"/>
          <w:color w:val="auto"/>
          <w:sz w:val="28"/>
          <w:szCs w:val="28"/>
          <w:highlight w:val="none"/>
          <w:lang w:val="en-US" w:eastAsia="zh-CN"/>
        </w:rPr>
        <w:t>使用权</w:t>
      </w:r>
      <w:r>
        <w:rPr>
          <w:rFonts w:hint="eastAsia" w:ascii="仿宋_GB2312" w:hAnsi="宋体" w:eastAsia="仿宋_GB2312"/>
          <w:color w:val="auto"/>
          <w:sz w:val="28"/>
          <w:szCs w:val="28"/>
          <w:highlight w:val="none"/>
        </w:rPr>
        <w:t>租赁事宜签订本合同，以资双方共同遵守。</w:t>
      </w:r>
    </w:p>
    <w:p>
      <w:pPr>
        <w:autoSpaceDE w:val="0"/>
        <w:autoSpaceDN w:val="0"/>
        <w:adjustRightInd w:val="0"/>
        <w:ind w:firstLine="562" w:firstLineChars="200"/>
        <w:jc w:val="left"/>
        <w:rPr>
          <w:rFonts w:ascii="黑体" w:hAnsi="黑体" w:eastAsia="黑体" w:cs="黑体"/>
          <w:b/>
          <w:color w:val="auto"/>
          <w:sz w:val="28"/>
          <w:szCs w:val="28"/>
          <w:highlight w:val="none"/>
        </w:rPr>
      </w:pPr>
      <w:r>
        <w:rPr>
          <w:rFonts w:hint="eastAsia" w:ascii="黑体" w:hAnsi="黑体" w:eastAsia="黑体" w:cs="黑体"/>
          <w:b/>
          <w:color w:val="auto"/>
          <w:sz w:val="28"/>
          <w:szCs w:val="28"/>
          <w:highlight w:val="none"/>
        </w:rPr>
        <w:t xml:space="preserve">第一条 </w:t>
      </w:r>
      <w:r>
        <w:rPr>
          <w:rFonts w:ascii="黑体" w:hAnsi="黑体" w:eastAsia="黑体" w:cs="黑体"/>
          <w:b/>
          <w:color w:val="auto"/>
          <w:sz w:val="28"/>
          <w:szCs w:val="28"/>
          <w:highlight w:val="none"/>
        </w:rPr>
        <w:t>术语定义</w:t>
      </w:r>
    </w:p>
    <w:p>
      <w:pPr>
        <w:autoSpaceDE w:val="0"/>
        <w:autoSpaceDN w:val="0"/>
        <w:adjustRightInd w:val="0"/>
        <w:ind w:firstLine="478" w:firstLineChars="171"/>
        <w:jc w:val="left"/>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1.1 定义</w:t>
      </w:r>
    </w:p>
    <w:p>
      <w:pPr>
        <w:autoSpaceDE w:val="0"/>
        <w:autoSpaceDN w:val="0"/>
        <w:adjustRightInd w:val="0"/>
        <w:ind w:firstLine="478" w:firstLineChars="171"/>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除非另有说明或约定，本合同中下述用语具有以下特定的含义：</w:t>
      </w:r>
    </w:p>
    <w:tbl>
      <w:tblPr>
        <w:tblStyle w:val="14"/>
        <w:tblW w:w="9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7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1785" w:type="dxa"/>
            <w:tcBorders>
              <w:top w:val="double" w:color="auto" w:sz="4" w:space="0"/>
              <w:left w:val="double" w:color="auto" w:sz="4" w:space="0"/>
            </w:tcBorders>
            <w:vAlign w:val="center"/>
          </w:tcPr>
          <w:p>
            <w:pPr>
              <w:autoSpaceDE w:val="0"/>
              <w:autoSpaceDN w:val="0"/>
              <w:adjustRightInd w:val="0"/>
              <w:spacing w:line="340" w:lineRule="exact"/>
              <w:ind w:firstLine="0" w:firstLineChars="0"/>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本合同</w:t>
            </w:r>
          </w:p>
        </w:tc>
        <w:tc>
          <w:tcPr>
            <w:tcW w:w="7641" w:type="dxa"/>
            <w:tcBorders>
              <w:top w:val="double" w:color="auto" w:sz="4" w:space="0"/>
              <w:right w:val="double" w:color="auto" w:sz="4" w:space="0"/>
            </w:tcBorders>
            <w:vAlign w:val="center"/>
          </w:tcPr>
          <w:p>
            <w:pPr>
              <w:autoSpaceDE w:val="0"/>
              <w:autoSpaceDN w:val="0"/>
              <w:adjustRightInd w:val="0"/>
              <w:spacing w:line="340" w:lineRule="exact"/>
              <w:ind w:firstLine="560" w:firstLineChars="200"/>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指</w:t>
            </w:r>
            <w:r>
              <w:rPr>
                <w:rFonts w:hint="eastAsia" w:ascii="仿宋_GB2312" w:hAnsi="仿宋_GB2312" w:eastAsia="仿宋_GB2312" w:cs="仿宋_GB2312"/>
                <w:color w:val="auto"/>
                <w:sz w:val="28"/>
                <w:szCs w:val="28"/>
                <w:highlight w:val="none"/>
                <w:lang w:eastAsia="zh-CN"/>
              </w:rPr>
              <w:t>甲方</w:t>
            </w:r>
            <w:r>
              <w:rPr>
                <w:rFonts w:hint="eastAsia" w:ascii="仿宋_GB2312" w:hAnsi="仿宋_GB2312" w:eastAsia="仿宋_GB2312" w:cs="仿宋_GB2312"/>
                <w:color w:val="auto"/>
                <w:sz w:val="28"/>
                <w:szCs w:val="28"/>
                <w:highlight w:val="none"/>
              </w:rPr>
              <w:t>与</w:t>
            </w:r>
            <w:r>
              <w:rPr>
                <w:rFonts w:hint="eastAsia" w:ascii="仿宋_GB2312" w:hAnsi="仿宋_GB2312" w:eastAsia="仿宋_GB2312" w:cs="仿宋_GB2312"/>
                <w:color w:val="auto"/>
                <w:sz w:val="28"/>
                <w:szCs w:val="28"/>
                <w:highlight w:val="none"/>
                <w:lang w:eastAsia="zh-CN"/>
              </w:rPr>
              <w:t>乙方</w:t>
            </w:r>
            <w:r>
              <w:rPr>
                <w:rFonts w:hint="eastAsia" w:ascii="仿宋_GB2312" w:hAnsi="仿宋_GB2312" w:eastAsia="仿宋_GB2312" w:cs="仿宋_GB2312"/>
                <w:color w:val="auto"/>
                <w:sz w:val="28"/>
                <w:szCs w:val="28"/>
                <w:highlight w:val="none"/>
              </w:rPr>
              <w:t>之间签订的《贵阳轨道</w:t>
            </w:r>
            <w:r>
              <w:rPr>
                <w:rFonts w:ascii="仿宋_GB2312" w:hAnsi="仿宋_GB2312" w:eastAsia="仿宋_GB2312" w:cs="仿宋_GB2312"/>
                <w:color w:val="auto"/>
                <w:sz w:val="28"/>
                <w:szCs w:val="28"/>
                <w:highlight w:val="none"/>
              </w:rPr>
              <w:t>交通</w:t>
            </w:r>
            <w:r>
              <w:rPr>
                <w:rFonts w:hint="eastAsia" w:ascii="仿宋_GB2312" w:hAnsi="仿宋_GB2312" w:eastAsia="仿宋_GB2312" w:cs="仿宋_GB2312"/>
                <w:color w:val="auto"/>
                <w:sz w:val="28"/>
                <w:szCs w:val="28"/>
                <w:highlight w:val="none"/>
                <w:lang w:eastAsia="zh-CN"/>
              </w:rPr>
              <w:t>1号线</w:t>
            </w:r>
            <w:r>
              <w:rPr>
                <w:rFonts w:hint="eastAsia" w:ascii="仿宋_GB2312" w:hAnsi="仿宋_GB2312" w:eastAsia="仿宋_GB2312" w:cs="仿宋_GB2312"/>
                <w:color w:val="auto"/>
                <w:sz w:val="28"/>
                <w:szCs w:val="28"/>
                <w:highlight w:val="none"/>
                <w:lang w:val="en-US" w:eastAsia="zh-CN"/>
              </w:rPr>
              <w:t>贵阳火车站</w:t>
            </w:r>
            <w:r>
              <w:rPr>
                <w:rFonts w:hint="eastAsia" w:ascii="仿宋_GB2312" w:hAnsi="仿宋_GB2312" w:eastAsia="仿宋_GB2312" w:cs="仿宋_GB2312"/>
                <w:color w:val="auto"/>
                <w:sz w:val="28"/>
                <w:szCs w:val="28"/>
                <w:highlight w:val="none"/>
              </w:rPr>
              <w:t>物业空间</w:t>
            </w:r>
            <w:r>
              <w:rPr>
                <w:rFonts w:hint="eastAsia" w:ascii="仿宋_GB2312" w:hAnsi="仿宋_GB2312" w:eastAsia="仿宋_GB2312" w:cs="仿宋_GB2312"/>
                <w:color w:val="auto"/>
                <w:sz w:val="28"/>
                <w:szCs w:val="28"/>
                <w:highlight w:val="none"/>
                <w:lang w:eastAsia="zh-CN"/>
              </w:rPr>
              <w:t>使用权</w:t>
            </w:r>
            <w:r>
              <w:rPr>
                <w:rFonts w:hint="eastAsia" w:ascii="仿宋_GB2312" w:hAnsi="仿宋_GB2312" w:eastAsia="仿宋_GB2312" w:cs="仿宋_GB2312"/>
                <w:color w:val="auto"/>
                <w:sz w:val="28"/>
                <w:szCs w:val="28"/>
                <w:highlight w:val="none"/>
              </w:rPr>
              <w:t>租赁合同》及附件，以及日后可能签订的任何补充修改协议和附件，上述每一文件均被视为本合同。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85" w:type="dxa"/>
            <w:tcBorders>
              <w:left w:val="double" w:color="auto" w:sz="4" w:space="0"/>
            </w:tcBorders>
            <w:vAlign w:val="center"/>
          </w:tcPr>
          <w:p>
            <w:pPr>
              <w:autoSpaceDE w:val="0"/>
              <w:autoSpaceDN w:val="0"/>
              <w:adjustRightInd w:val="0"/>
              <w:spacing w:line="340" w:lineRule="exact"/>
              <w:ind w:firstLine="0" w:firstLineChars="0"/>
              <w:jc w:val="center"/>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甲方</w:t>
            </w:r>
          </w:p>
        </w:tc>
        <w:tc>
          <w:tcPr>
            <w:tcW w:w="7641" w:type="dxa"/>
            <w:tcBorders>
              <w:right w:val="double" w:color="auto" w:sz="4" w:space="0"/>
            </w:tcBorders>
            <w:vAlign w:val="center"/>
          </w:tcPr>
          <w:p>
            <w:pPr>
              <w:autoSpaceDE w:val="0"/>
              <w:autoSpaceDN w:val="0"/>
              <w:adjustRightInd w:val="0"/>
              <w:spacing w:line="340" w:lineRule="exact"/>
              <w:ind w:firstLine="560" w:firstLineChars="200"/>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sz w:val="28"/>
                <w:szCs w:val="28"/>
              </w:rPr>
              <w:t>指</w:t>
            </w:r>
            <w:r>
              <w:rPr>
                <w:rFonts w:hint="eastAsia" w:ascii="仿宋_GB2312" w:hAnsi="仿宋_GB2312" w:eastAsia="仿宋_GB2312" w:cs="仿宋_GB2312"/>
                <w:sz w:val="28"/>
                <w:szCs w:val="28"/>
                <w:lang w:eastAsia="zh-CN"/>
              </w:rPr>
              <w:t>贵阳市公共交通投资运营集团有限公司</w:t>
            </w: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85" w:type="dxa"/>
            <w:tcBorders>
              <w:left w:val="double" w:color="auto" w:sz="4" w:space="0"/>
            </w:tcBorders>
            <w:vAlign w:val="center"/>
          </w:tcPr>
          <w:p>
            <w:pPr>
              <w:autoSpaceDE w:val="0"/>
              <w:autoSpaceDN w:val="0"/>
              <w:adjustRightInd w:val="0"/>
              <w:spacing w:line="340" w:lineRule="exact"/>
              <w:ind w:firstLine="0" w:firstLineChars="0"/>
              <w:jc w:val="center"/>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乙方</w:t>
            </w:r>
          </w:p>
        </w:tc>
        <w:tc>
          <w:tcPr>
            <w:tcW w:w="7641" w:type="dxa"/>
            <w:tcBorders>
              <w:right w:val="double" w:color="auto" w:sz="4" w:space="0"/>
            </w:tcBorders>
            <w:vAlign w:val="center"/>
          </w:tcPr>
          <w:p>
            <w:pPr>
              <w:autoSpaceDE w:val="0"/>
              <w:autoSpaceDN w:val="0"/>
              <w:adjustRightInd w:val="0"/>
              <w:spacing w:line="340" w:lineRule="exact"/>
              <w:ind w:firstLine="560" w:firstLineChars="200"/>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指本次出租标的物的承租主体。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85" w:type="dxa"/>
            <w:tcBorders>
              <w:left w:val="double" w:color="auto" w:sz="4" w:space="0"/>
            </w:tcBorders>
            <w:vAlign w:val="center"/>
          </w:tcPr>
          <w:p>
            <w:pPr>
              <w:autoSpaceDE w:val="0"/>
              <w:autoSpaceDN w:val="0"/>
              <w:adjustRightInd w:val="0"/>
              <w:spacing w:line="340" w:lineRule="exact"/>
              <w:jc w:val="center"/>
              <w:rPr>
                <w:rFonts w:ascii="仿宋_GB2312" w:hAnsi="仿宋_GB2312" w:eastAsia="仿宋_GB2312" w:cs="仿宋_GB2312"/>
                <w:strike/>
                <w:color w:val="auto"/>
                <w:sz w:val="28"/>
                <w:szCs w:val="28"/>
                <w:highlight w:val="none"/>
              </w:rPr>
            </w:pPr>
            <w:r>
              <w:rPr>
                <w:rFonts w:hint="eastAsia" w:ascii="仿宋_GB2312" w:hAnsi="仿宋_GB2312" w:eastAsia="仿宋_GB2312" w:cs="仿宋_GB2312"/>
                <w:color w:val="auto"/>
                <w:sz w:val="28"/>
                <w:szCs w:val="28"/>
                <w:highlight w:val="none"/>
              </w:rPr>
              <w:t>出租标的</w:t>
            </w:r>
          </w:p>
        </w:tc>
        <w:tc>
          <w:tcPr>
            <w:tcW w:w="7641" w:type="dxa"/>
            <w:tcBorders>
              <w:right w:val="double" w:color="auto" w:sz="4" w:space="0"/>
            </w:tcBorders>
            <w:vAlign w:val="center"/>
          </w:tcPr>
          <w:p>
            <w:pPr>
              <w:autoSpaceDE w:val="0"/>
              <w:autoSpaceDN w:val="0"/>
              <w:adjustRightInd w:val="0"/>
              <w:spacing w:line="340" w:lineRule="exact"/>
              <w:ind w:firstLine="560" w:firstLineChars="200"/>
              <w:jc w:val="left"/>
              <w:rPr>
                <w:rFonts w:ascii="仿宋_GB2312" w:hAnsi="仿宋_GB2312" w:eastAsia="仿宋_GB2312" w:cs="仿宋_GB2312"/>
                <w:strike/>
                <w:color w:val="auto"/>
                <w:sz w:val="28"/>
                <w:szCs w:val="28"/>
                <w:highlight w:val="none"/>
              </w:rPr>
            </w:pPr>
            <w:r>
              <w:rPr>
                <w:rFonts w:hint="eastAsia" w:ascii="仿宋_GB2312" w:hAnsi="仿宋_GB2312" w:eastAsia="仿宋_GB2312" w:cs="仿宋_GB2312"/>
                <w:color w:val="auto"/>
                <w:sz w:val="28"/>
                <w:szCs w:val="28"/>
                <w:highlight w:val="none"/>
              </w:rPr>
              <w:t>贵阳轨道交通</w:t>
            </w:r>
            <w:r>
              <w:rPr>
                <w:rFonts w:hint="eastAsia" w:ascii="仿宋_GB2312" w:hAnsi="仿宋_GB2312" w:eastAsia="仿宋_GB2312" w:cs="仿宋_GB2312"/>
                <w:color w:val="auto"/>
                <w:sz w:val="28"/>
                <w:szCs w:val="28"/>
                <w:highlight w:val="none"/>
                <w:lang w:eastAsia="zh-CN"/>
              </w:rPr>
              <w:t>1号线</w:t>
            </w:r>
            <w:r>
              <w:rPr>
                <w:rFonts w:hint="eastAsia" w:ascii="仿宋_GB2312" w:hAnsi="仿宋_GB2312" w:eastAsia="仿宋_GB2312" w:cs="仿宋_GB2312"/>
                <w:color w:val="auto"/>
                <w:sz w:val="28"/>
                <w:szCs w:val="28"/>
                <w:highlight w:val="none"/>
                <w:lang w:val="en-US" w:eastAsia="zh-CN"/>
              </w:rPr>
              <w:t>贵阳火车站</w:t>
            </w:r>
            <w:r>
              <w:rPr>
                <w:rFonts w:hint="eastAsia" w:ascii="仿宋_GB2312" w:hAnsi="仿宋_GB2312" w:eastAsia="仿宋_GB2312" w:cs="仿宋_GB2312"/>
                <w:color w:val="auto"/>
                <w:sz w:val="28"/>
                <w:szCs w:val="28"/>
                <w:highlight w:val="none"/>
              </w:rPr>
              <w:t>物业空间</w:t>
            </w:r>
            <w:r>
              <w:rPr>
                <w:rFonts w:hint="eastAsia" w:ascii="仿宋_GB2312" w:hAnsi="仿宋_GB2312" w:eastAsia="仿宋_GB2312" w:cs="仿宋_GB2312"/>
                <w:color w:val="auto"/>
                <w:sz w:val="28"/>
                <w:szCs w:val="28"/>
                <w:highlight w:val="none"/>
                <w:lang w:val="en-US" w:eastAsia="zh-CN"/>
              </w:rPr>
              <w:t>使用权</w:t>
            </w:r>
            <w:r>
              <w:rPr>
                <w:rFonts w:hint="eastAsia" w:ascii="仿宋_GB2312" w:hAnsi="仿宋_GB2312" w:eastAsia="仿宋_GB2312" w:cs="仿宋_GB2312"/>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85" w:type="dxa"/>
            <w:tcBorders>
              <w:left w:val="double" w:color="auto" w:sz="4" w:space="0"/>
            </w:tcBorders>
            <w:vAlign w:val="center"/>
          </w:tcPr>
          <w:p>
            <w:pPr>
              <w:autoSpaceDE w:val="0"/>
              <w:autoSpaceDN w:val="0"/>
              <w:adjustRightInd w:val="0"/>
              <w:spacing w:line="340" w:lineRule="exact"/>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物业空间</w:t>
            </w:r>
          </w:p>
        </w:tc>
        <w:tc>
          <w:tcPr>
            <w:tcW w:w="7641" w:type="dxa"/>
            <w:tcBorders>
              <w:right w:val="double" w:color="auto" w:sz="4" w:space="0"/>
            </w:tcBorders>
            <w:vAlign w:val="center"/>
          </w:tcPr>
          <w:p>
            <w:pPr>
              <w:autoSpaceDE w:val="0"/>
              <w:autoSpaceDN w:val="0"/>
              <w:adjustRightInd w:val="0"/>
              <w:spacing w:line="340" w:lineRule="exact"/>
              <w:ind w:firstLine="560" w:firstLineChars="200"/>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2"/>
                <w:sz w:val="28"/>
                <w:szCs w:val="28"/>
                <w:highlight w:val="none"/>
              </w:rPr>
              <w:t>指贵阳城市轨道交通车站、隧道区间、车辆段、停车场、OCC、主变电所等结构</w:t>
            </w:r>
            <w:r>
              <w:rPr>
                <w:rFonts w:hint="eastAsia" w:ascii="仿宋_GB2312" w:hAnsi="仿宋_GB2312" w:eastAsia="仿宋_GB2312" w:cs="仿宋_GB2312"/>
                <w:color w:val="auto"/>
                <w:kern w:val="2"/>
                <w:sz w:val="28"/>
                <w:szCs w:val="28"/>
                <w:highlight w:val="none"/>
                <w:lang w:val="en-US" w:eastAsia="zh-CN"/>
              </w:rPr>
              <w:t>或</w:t>
            </w:r>
            <w:r>
              <w:rPr>
                <w:rFonts w:hint="eastAsia" w:ascii="仿宋_GB2312" w:hAnsi="仿宋_GB2312" w:eastAsia="仿宋_GB2312" w:cs="仿宋_GB2312"/>
                <w:color w:val="auto"/>
                <w:kern w:val="2"/>
                <w:sz w:val="28"/>
                <w:szCs w:val="28"/>
                <w:highlight w:val="none"/>
              </w:rPr>
              <w:t>相邻区域</w:t>
            </w:r>
            <w:r>
              <w:rPr>
                <w:rFonts w:hint="eastAsia" w:ascii="仿宋_GB2312" w:hAnsi="仿宋_GB2312" w:eastAsia="仿宋_GB2312" w:cs="仿宋_GB2312"/>
                <w:color w:val="auto"/>
                <w:kern w:val="2"/>
                <w:sz w:val="28"/>
                <w:szCs w:val="28"/>
                <w:highlight w:val="none"/>
                <w:lang w:val="en-US" w:eastAsia="zh-CN"/>
              </w:rPr>
              <w:t>内</w:t>
            </w:r>
            <w:r>
              <w:rPr>
                <w:rFonts w:hint="eastAsia" w:ascii="仿宋_GB2312" w:hAnsi="仿宋_GB2312" w:eastAsia="仿宋_GB2312" w:cs="仿宋_GB2312"/>
                <w:color w:val="auto"/>
                <w:kern w:val="2"/>
                <w:sz w:val="28"/>
                <w:szCs w:val="28"/>
                <w:highlight w:val="none"/>
              </w:rPr>
              <w:t>可用于商业经营的大型空间。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85" w:type="dxa"/>
            <w:tcBorders>
              <w:left w:val="double" w:color="auto" w:sz="4" w:space="0"/>
            </w:tcBorders>
            <w:vAlign w:val="center"/>
          </w:tcPr>
          <w:p>
            <w:pPr>
              <w:autoSpaceDE w:val="0"/>
              <w:autoSpaceDN w:val="0"/>
              <w:adjustRightInd w:val="0"/>
              <w:spacing w:line="340" w:lineRule="exact"/>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总建筑</w:t>
            </w:r>
            <w:r>
              <w:rPr>
                <w:rFonts w:hint="eastAsia" w:ascii="仿宋_GB2312" w:hAnsi="仿宋_GB2312" w:eastAsia="仿宋_GB2312" w:cs="仿宋_GB2312"/>
                <w:color w:val="auto"/>
                <w:sz w:val="28"/>
                <w:szCs w:val="28"/>
                <w:highlight w:val="none"/>
              </w:rPr>
              <w:t>面积</w:t>
            </w:r>
          </w:p>
        </w:tc>
        <w:tc>
          <w:tcPr>
            <w:tcW w:w="7641" w:type="dxa"/>
            <w:tcBorders>
              <w:right w:val="double" w:color="auto" w:sz="4" w:space="0"/>
            </w:tcBorders>
            <w:vAlign w:val="center"/>
          </w:tcPr>
          <w:p>
            <w:pPr>
              <w:autoSpaceDE w:val="0"/>
              <w:autoSpaceDN w:val="0"/>
              <w:adjustRightInd w:val="0"/>
              <w:spacing w:line="340" w:lineRule="exact"/>
              <w:ind w:firstLine="560" w:firstLineChars="200"/>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b w:val="0"/>
                <w:bCs/>
                <w:sz w:val="28"/>
                <w:szCs w:val="28"/>
                <w:lang w:val="en-US" w:eastAsia="zh-CN"/>
              </w:rPr>
              <w:t>物业空间的总建筑面积约3327.83平方米（即物业空间结构内围合的闭合曲线面积，包含可用于商业经营的空间、配套场地、内部设备设施用房、公共走道、出入口通道及用于消防疏散的下沉式广场等面积）。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85" w:type="dxa"/>
            <w:tcBorders>
              <w:left w:val="double" w:color="auto" w:sz="4" w:space="0"/>
            </w:tcBorders>
            <w:vAlign w:val="center"/>
          </w:tcPr>
          <w:p>
            <w:pPr>
              <w:autoSpaceDE w:val="0"/>
              <w:autoSpaceDN w:val="0"/>
              <w:adjustRightInd w:val="0"/>
              <w:spacing w:line="340" w:lineRule="exact"/>
              <w:ind w:firstLine="0" w:firstLineChars="0"/>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交付日</w:t>
            </w:r>
          </w:p>
        </w:tc>
        <w:tc>
          <w:tcPr>
            <w:tcW w:w="7641" w:type="dxa"/>
            <w:tcBorders>
              <w:right w:val="double" w:color="auto" w:sz="4" w:space="0"/>
            </w:tcBorders>
            <w:vAlign w:val="center"/>
          </w:tcPr>
          <w:p>
            <w:pPr>
              <w:autoSpaceDE w:val="0"/>
              <w:autoSpaceDN w:val="0"/>
              <w:adjustRightInd w:val="0"/>
              <w:spacing w:line="340" w:lineRule="exact"/>
              <w:ind w:firstLine="560" w:firstLineChars="200"/>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lang w:eastAsia="zh-CN"/>
              </w:rPr>
              <w:t>甲方</w:t>
            </w:r>
            <w:r>
              <w:rPr>
                <w:rFonts w:hint="eastAsia" w:ascii="仿宋_GB2312" w:hAnsi="仿宋_GB2312" w:eastAsia="仿宋_GB2312" w:cs="仿宋_GB2312"/>
                <w:color w:val="auto"/>
                <w:kern w:val="0"/>
                <w:sz w:val="28"/>
                <w:szCs w:val="28"/>
                <w:highlight w:val="none"/>
              </w:rPr>
              <w:t>向</w:t>
            </w:r>
            <w:r>
              <w:rPr>
                <w:rFonts w:hint="eastAsia" w:ascii="仿宋_GB2312" w:hAnsi="仿宋_GB2312" w:eastAsia="仿宋_GB2312" w:cs="仿宋_GB2312"/>
                <w:color w:val="auto"/>
                <w:kern w:val="0"/>
                <w:sz w:val="28"/>
                <w:szCs w:val="28"/>
                <w:highlight w:val="none"/>
                <w:lang w:eastAsia="zh-CN"/>
              </w:rPr>
              <w:t>乙方</w:t>
            </w:r>
            <w:r>
              <w:rPr>
                <w:rFonts w:hint="eastAsia" w:ascii="仿宋_GB2312" w:hAnsi="仿宋_GB2312" w:eastAsia="仿宋_GB2312" w:cs="仿宋_GB2312"/>
                <w:color w:val="auto"/>
                <w:kern w:val="0"/>
                <w:sz w:val="28"/>
                <w:szCs w:val="28"/>
                <w:highlight w:val="none"/>
              </w:rPr>
              <w:t>交付标的物之日</w:t>
            </w:r>
            <w:r>
              <w:rPr>
                <w:rFonts w:hint="eastAsia" w:ascii="仿宋_GB2312" w:hAnsi="仿宋_GB2312" w:eastAsia="仿宋_GB2312" w:cs="仿宋_GB2312"/>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85" w:type="dxa"/>
            <w:tcBorders>
              <w:left w:val="double" w:color="auto" w:sz="4" w:space="0"/>
            </w:tcBorders>
            <w:vAlign w:val="center"/>
          </w:tcPr>
          <w:p>
            <w:pPr>
              <w:autoSpaceDE w:val="0"/>
              <w:autoSpaceDN w:val="0"/>
              <w:adjustRightInd w:val="0"/>
              <w:spacing w:line="340" w:lineRule="exact"/>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经营准备期</w:t>
            </w:r>
          </w:p>
        </w:tc>
        <w:tc>
          <w:tcPr>
            <w:tcW w:w="7641" w:type="dxa"/>
            <w:tcBorders>
              <w:right w:val="double" w:color="auto" w:sz="4" w:space="0"/>
            </w:tcBorders>
            <w:vAlign w:val="center"/>
          </w:tcPr>
          <w:p>
            <w:pPr>
              <w:autoSpaceDE w:val="0"/>
              <w:autoSpaceDN w:val="0"/>
              <w:adjustRightInd w:val="0"/>
              <w:spacing w:line="340" w:lineRule="exact"/>
              <w:ind w:firstLine="560" w:firstLineChars="200"/>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是指用于</w:t>
            </w:r>
            <w:r>
              <w:rPr>
                <w:rFonts w:hint="eastAsia" w:ascii="仿宋_GB2312" w:hAnsi="仿宋_GB2312" w:eastAsia="仿宋_GB2312" w:cs="仿宋_GB2312"/>
                <w:color w:val="auto"/>
                <w:sz w:val="28"/>
                <w:szCs w:val="28"/>
                <w:highlight w:val="none"/>
                <w:lang w:eastAsia="zh-CN"/>
              </w:rPr>
              <w:t>乙方</w:t>
            </w:r>
            <w:r>
              <w:rPr>
                <w:rFonts w:hint="eastAsia" w:ascii="仿宋_GB2312" w:hAnsi="仿宋_GB2312" w:eastAsia="仿宋_GB2312" w:cs="仿宋_GB2312"/>
                <w:color w:val="auto"/>
                <w:sz w:val="28"/>
                <w:szCs w:val="28"/>
                <w:highlight w:val="none"/>
              </w:rPr>
              <w:t>进行</w:t>
            </w:r>
            <w:r>
              <w:rPr>
                <w:rFonts w:hint="eastAsia" w:ascii="仿宋_GB2312" w:hAnsi="仿宋_GB2312" w:eastAsia="仿宋_GB2312" w:cs="仿宋_GB2312"/>
                <w:color w:val="auto"/>
                <w:kern w:val="0"/>
                <w:sz w:val="28"/>
                <w:szCs w:val="28"/>
                <w:highlight w:val="none"/>
              </w:rPr>
              <w:t>物业空间后续工程建设、装饰装修、</w:t>
            </w:r>
            <w:r>
              <w:rPr>
                <w:rFonts w:hint="eastAsia" w:ascii="仿宋_GB2312" w:hAnsi="仿宋_GB2312" w:eastAsia="仿宋_GB2312" w:cs="仿宋_GB2312"/>
                <w:color w:val="auto"/>
                <w:sz w:val="28"/>
                <w:szCs w:val="28"/>
                <w:highlight w:val="none"/>
              </w:rPr>
              <w:t>设备设施</w:t>
            </w:r>
            <w:r>
              <w:rPr>
                <w:rFonts w:hint="eastAsia" w:ascii="仿宋_GB2312" w:hAnsi="仿宋_GB2312" w:eastAsia="仿宋_GB2312" w:cs="仿宋_GB2312"/>
                <w:color w:val="auto"/>
                <w:kern w:val="0"/>
                <w:sz w:val="28"/>
                <w:szCs w:val="28"/>
                <w:highlight w:val="none"/>
              </w:rPr>
              <w:t>安装，相关行政审批</w:t>
            </w:r>
            <w:r>
              <w:rPr>
                <w:rFonts w:hint="eastAsia" w:ascii="仿宋_GB2312" w:hAnsi="仿宋_GB2312" w:eastAsia="仿宋_GB2312" w:cs="仿宋_GB2312"/>
                <w:color w:val="auto"/>
                <w:sz w:val="28"/>
                <w:szCs w:val="28"/>
                <w:highlight w:val="none"/>
              </w:rPr>
              <w:t>手续办理</w:t>
            </w:r>
            <w:r>
              <w:rPr>
                <w:rFonts w:hint="eastAsia" w:ascii="仿宋_GB2312" w:hAnsi="仿宋_GB2312" w:eastAsia="仿宋_GB2312" w:cs="仿宋_GB2312"/>
                <w:color w:val="auto"/>
                <w:kern w:val="0"/>
                <w:sz w:val="28"/>
                <w:szCs w:val="28"/>
                <w:highlight w:val="none"/>
              </w:rPr>
              <w:t>和经营</w:t>
            </w:r>
            <w:r>
              <w:rPr>
                <w:rFonts w:hint="eastAsia" w:ascii="仿宋_GB2312" w:hAnsi="仿宋_GB2312" w:eastAsia="仿宋_GB2312" w:cs="仿宋_GB2312"/>
                <w:color w:val="auto"/>
                <w:sz w:val="28"/>
                <w:szCs w:val="28"/>
                <w:highlight w:val="none"/>
              </w:rPr>
              <w:t>筹备的时间。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85" w:type="dxa"/>
            <w:tcBorders>
              <w:left w:val="double" w:color="auto" w:sz="4" w:space="0"/>
            </w:tcBorders>
            <w:vAlign w:val="center"/>
          </w:tcPr>
          <w:p>
            <w:pPr>
              <w:autoSpaceDE w:val="0"/>
              <w:autoSpaceDN w:val="0"/>
              <w:adjustRightInd w:val="0"/>
              <w:spacing w:line="340" w:lineRule="exact"/>
              <w:ind w:firstLine="0" w:firstLineChars="0"/>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起租日</w:t>
            </w:r>
          </w:p>
        </w:tc>
        <w:tc>
          <w:tcPr>
            <w:tcW w:w="7641" w:type="dxa"/>
            <w:tcBorders>
              <w:right w:val="double" w:color="auto" w:sz="4" w:space="0"/>
            </w:tcBorders>
            <w:vAlign w:val="center"/>
          </w:tcPr>
          <w:p>
            <w:pPr>
              <w:spacing w:line="340" w:lineRule="exact"/>
              <w:ind w:right="48" w:rightChars="20" w:firstLine="560" w:firstLineChars="200"/>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开始计算租金的时间，经营准备期满后的次日为</w:t>
            </w:r>
            <w:r>
              <w:rPr>
                <w:rFonts w:hint="eastAsia" w:ascii="仿宋_GB2312" w:hAnsi="仿宋_GB2312" w:eastAsia="仿宋_GB2312" w:cs="仿宋_GB2312"/>
                <w:color w:val="auto"/>
                <w:sz w:val="28"/>
                <w:szCs w:val="28"/>
                <w:highlight w:val="none"/>
                <w:lang w:eastAsia="zh-CN"/>
              </w:rPr>
              <w:t>物业空间</w:t>
            </w:r>
            <w:r>
              <w:rPr>
                <w:rFonts w:hint="eastAsia" w:ascii="仿宋_GB2312" w:hAnsi="仿宋_GB2312" w:eastAsia="仿宋_GB2312" w:cs="仿宋_GB2312"/>
                <w:color w:val="auto"/>
                <w:sz w:val="28"/>
                <w:szCs w:val="28"/>
                <w:highlight w:val="none"/>
              </w:rPr>
              <w:t>的起租日。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85" w:type="dxa"/>
            <w:tcBorders>
              <w:left w:val="double" w:color="auto" w:sz="4" w:space="0"/>
            </w:tcBorders>
            <w:vAlign w:val="center"/>
          </w:tcPr>
          <w:p>
            <w:pPr>
              <w:autoSpaceDE w:val="0"/>
              <w:autoSpaceDN w:val="0"/>
              <w:adjustRightInd w:val="0"/>
              <w:spacing w:line="340" w:lineRule="exact"/>
              <w:ind w:firstLine="0" w:firstLineChars="0"/>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租赁年度</w:t>
            </w:r>
          </w:p>
        </w:tc>
        <w:tc>
          <w:tcPr>
            <w:tcW w:w="7641" w:type="dxa"/>
            <w:tcBorders>
              <w:right w:val="double" w:color="auto" w:sz="4" w:space="0"/>
            </w:tcBorders>
            <w:vAlign w:val="center"/>
          </w:tcPr>
          <w:p>
            <w:pPr>
              <w:spacing w:line="340" w:lineRule="exact"/>
              <w:ind w:right="48" w:rightChars="20" w:firstLine="560" w:firstLineChars="200"/>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自起租日开始计算满一年为一个完整的租赁年度。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85" w:type="dxa"/>
            <w:tcBorders>
              <w:left w:val="double" w:color="auto" w:sz="4" w:space="0"/>
            </w:tcBorders>
            <w:vAlign w:val="center"/>
          </w:tcPr>
          <w:p>
            <w:pPr>
              <w:autoSpaceDE w:val="0"/>
              <w:autoSpaceDN w:val="0"/>
              <w:adjustRightInd w:val="0"/>
              <w:spacing w:line="340" w:lineRule="exact"/>
              <w:ind w:firstLine="0" w:firstLineChars="0"/>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自然年度</w:t>
            </w:r>
          </w:p>
        </w:tc>
        <w:tc>
          <w:tcPr>
            <w:tcW w:w="7641" w:type="dxa"/>
            <w:tcBorders>
              <w:right w:val="double" w:color="auto" w:sz="4" w:space="0"/>
            </w:tcBorders>
            <w:vAlign w:val="center"/>
          </w:tcPr>
          <w:p>
            <w:pPr>
              <w:autoSpaceDE w:val="0"/>
              <w:autoSpaceDN w:val="0"/>
              <w:adjustRightInd w:val="0"/>
              <w:spacing w:line="340" w:lineRule="exact"/>
              <w:ind w:firstLine="560" w:firstLineChars="200"/>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即</w:t>
            </w:r>
            <w:r>
              <w:rPr>
                <w:color w:val="auto"/>
                <w:highlight w:val="none"/>
              </w:rPr>
              <w:fldChar w:fldCharType="begin"/>
            </w:r>
            <w:r>
              <w:rPr>
                <w:color w:val="auto"/>
                <w:highlight w:val="none"/>
              </w:rPr>
              <w:instrText xml:space="preserve"> HYPERLINK "https://baike.baidu.com/item/%E5%85%AC%E5%8E%86" \t "_blank" </w:instrText>
            </w:r>
            <w:r>
              <w:rPr>
                <w:color w:val="auto"/>
                <w:highlight w:val="none"/>
              </w:rPr>
              <w:fldChar w:fldCharType="separate"/>
            </w:r>
            <w:r>
              <w:rPr>
                <w:rFonts w:ascii="仿宋_GB2312" w:hAnsi="仿宋_GB2312" w:eastAsia="仿宋_GB2312" w:cs="仿宋_GB2312"/>
                <w:color w:val="auto"/>
                <w:sz w:val="28"/>
                <w:szCs w:val="28"/>
                <w:highlight w:val="none"/>
              </w:rPr>
              <w:t>公历</w:t>
            </w:r>
            <w:r>
              <w:rPr>
                <w:rFonts w:ascii="仿宋_GB2312" w:hAnsi="仿宋_GB2312" w:eastAsia="仿宋_GB2312" w:cs="仿宋_GB2312"/>
                <w:color w:val="auto"/>
                <w:sz w:val="28"/>
                <w:szCs w:val="28"/>
                <w:highlight w:val="none"/>
              </w:rPr>
              <w:fldChar w:fldCharType="end"/>
            </w:r>
            <w:r>
              <w:rPr>
                <w:rFonts w:ascii="仿宋_GB2312" w:hAnsi="仿宋_GB2312" w:eastAsia="仿宋_GB2312" w:cs="仿宋_GB2312"/>
                <w:color w:val="auto"/>
                <w:sz w:val="28"/>
                <w:szCs w:val="28"/>
                <w:highlight w:val="none"/>
              </w:rPr>
              <w:t>的1月1日至12月31日</w:t>
            </w:r>
            <w:r>
              <w:rPr>
                <w:rFonts w:hint="eastAsia" w:ascii="仿宋_GB2312" w:hAnsi="仿宋_GB2312" w:eastAsia="仿宋_GB2312" w:cs="仿宋_GB2312"/>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85" w:type="dxa"/>
            <w:tcBorders>
              <w:left w:val="double" w:color="auto" w:sz="4" w:space="0"/>
            </w:tcBorders>
            <w:vAlign w:val="center"/>
          </w:tcPr>
          <w:p>
            <w:pPr>
              <w:autoSpaceDE w:val="0"/>
              <w:autoSpaceDN w:val="0"/>
              <w:adjustRightInd w:val="0"/>
              <w:spacing w:line="340" w:lineRule="exact"/>
              <w:ind w:firstLine="0" w:firstLineChars="0"/>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租金</w:t>
            </w:r>
          </w:p>
        </w:tc>
        <w:tc>
          <w:tcPr>
            <w:tcW w:w="7641" w:type="dxa"/>
            <w:tcBorders>
              <w:right w:val="double" w:color="auto" w:sz="4" w:space="0"/>
            </w:tcBorders>
            <w:vAlign w:val="center"/>
          </w:tcPr>
          <w:p>
            <w:pPr>
              <w:autoSpaceDE w:val="0"/>
              <w:autoSpaceDN w:val="0"/>
              <w:adjustRightInd w:val="0"/>
              <w:spacing w:line="340" w:lineRule="exact"/>
              <w:ind w:firstLine="560" w:firstLineChars="200"/>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指在出租标的租赁期限内，</w:t>
            </w:r>
            <w:r>
              <w:rPr>
                <w:rFonts w:hint="eastAsia" w:ascii="仿宋_GB2312" w:hAnsi="仿宋_GB2312" w:eastAsia="仿宋_GB2312" w:cs="仿宋_GB2312"/>
                <w:color w:val="auto"/>
                <w:sz w:val="28"/>
                <w:szCs w:val="28"/>
                <w:highlight w:val="none"/>
                <w:lang w:eastAsia="zh-CN"/>
              </w:rPr>
              <w:t>乙方</w:t>
            </w:r>
            <w:r>
              <w:rPr>
                <w:rFonts w:hint="eastAsia" w:ascii="仿宋_GB2312" w:hAnsi="仿宋_GB2312" w:eastAsia="仿宋_GB2312" w:cs="仿宋_GB2312"/>
                <w:color w:val="auto"/>
                <w:sz w:val="28"/>
                <w:szCs w:val="28"/>
                <w:highlight w:val="none"/>
              </w:rPr>
              <w:t>无论是否存在对外商业经营行为或无论经营盈亏，均须按照租赁年度向</w:t>
            </w:r>
            <w:r>
              <w:rPr>
                <w:rFonts w:hint="eastAsia" w:ascii="仿宋_GB2312" w:hAnsi="仿宋_GB2312" w:eastAsia="仿宋_GB2312" w:cs="仿宋_GB2312"/>
                <w:color w:val="auto"/>
                <w:sz w:val="28"/>
                <w:szCs w:val="28"/>
                <w:highlight w:val="none"/>
                <w:lang w:eastAsia="zh-CN"/>
              </w:rPr>
              <w:t>甲方</w:t>
            </w:r>
            <w:r>
              <w:rPr>
                <w:rFonts w:hint="eastAsia" w:ascii="仿宋_GB2312" w:hAnsi="仿宋_GB2312" w:eastAsia="仿宋_GB2312" w:cs="仿宋_GB2312"/>
                <w:color w:val="auto"/>
                <w:sz w:val="28"/>
                <w:szCs w:val="28"/>
                <w:highlight w:val="none"/>
              </w:rPr>
              <w:t>支付的租金。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85" w:type="dxa"/>
            <w:tcBorders>
              <w:left w:val="double" w:color="auto" w:sz="4" w:space="0"/>
            </w:tcBorders>
            <w:vAlign w:val="center"/>
          </w:tcPr>
          <w:p>
            <w:pPr>
              <w:autoSpaceDE w:val="0"/>
              <w:autoSpaceDN w:val="0"/>
              <w:adjustRightInd w:val="0"/>
              <w:spacing w:line="340" w:lineRule="exact"/>
              <w:ind w:firstLine="0" w:firstLineChars="0"/>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商业合同</w:t>
            </w:r>
          </w:p>
        </w:tc>
        <w:tc>
          <w:tcPr>
            <w:tcW w:w="7641" w:type="dxa"/>
            <w:tcBorders>
              <w:right w:val="double" w:color="auto" w:sz="4" w:space="0"/>
            </w:tcBorders>
            <w:vAlign w:val="center"/>
          </w:tcPr>
          <w:p>
            <w:pPr>
              <w:autoSpaceDE w:val="0"/>
              <w:autoSpaceDN w:val="0"/>
              <w:adjustRightInd w:val="0"/>
              <w:spacing w:line="340" w:lineRule="exact"/>
              <w:ind w:firstLine="560" w:firstLineChars="200"/>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指</w:t>
            </w:r>
            <w:r>
              <w:rPr>
                <w:rFonts w:hint="eastAsia" w:ascii="仿宋_GB2312" w:hAnsi="仿宋_GB2312" w:eastAsia="仿宋_GB2312" w:cs="仿宋_GB2312"/>
                <w:color w:val="auto"/>
                <w:sz w:val="28"/>
                <w:szCs w:val="28"/>
                <w:highlight w:val="none"/>
                <w:lang w:eastAsia="zh-CN"/>
              </w:rPr>
              <w:t>乙方</w:t>
            </w:r>
            <w:r>
              <w:rPr>
                <w:rFonts w:hint="eastAsia" w:ascii="仿宋_GB2312" w:hAnsi="仿宋_GB2312" w:eastAsia="仿宋_GB2312" w:cs="仿宋_GB2312"/>
                <w:color w:val="auto"/>
                <w:sz w:val="28"/>
                <w:szCs w:val="28"/>
                <w:highlight w:val="none"/>
              </w:rPr>
              <w:t>利用物业空间进行商业资源开发经营而签订的合同。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85" w:type="dxa"/>
            <w:tcBorders>
              <w:left w:val="double" w:color="auto" w:sz="4" w:space="0"/>
            </w:tcBorders>
            <w:vAlign w:val="center"/>
          </w:tcPr>
          <w:p>
            <w:pPr>
              <w:autoSpaceDE w:val="0"/>
              <w:autoSpaceDN w:val="0"/>
              <w:adjustRightInd w:val="0"/>
              <w:spacing w:line="340" w:lineRule="exact"/>
              <w:ind w:firstLine="0" w:firstLineChars="0"/>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适用法律</w:t>
            </w:r>
          </w:p>
        </w:tc>
        <w:tc>
          <w:tcPr>
            <w:tcW w:w="7641" w:type="dxa"/>
            <w:tcBorders>
              <w:right w:val="double" w:color="auto" w:sz="4" w:space="0"/>
            </w:tcBorders>
            <w:vAlign w:val="center"/>
          </w:tcPr>
          <w:p>
            <w:pPr>
              <w:autoSpaceDE w:val="0"/>
              <w:autoSpaceDN w:val="0"/>
              <w:adjustRightInd w:val="0"/>
              <w:spacing w:line="340" w:lineRule="exact"/>
              <w:ind w:firstLine="560" w:firstLineChars="200"/>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指所有的中华人民共和国法律、行政法规、地方性法规、自治条例、单行条例、部门规章、地方政府规章及其它具有约束力的强制性规范性文件（包括国家、地方和行业的技术标准、规范和要求）。在本合同中，“适用法律”不应包括香港特别行政区、澳门特别行政区和台湾地区的法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85" w:type="dxa"/>
            <w:tcBorders>
              <w:left w:val="double" w:color="auto" w:sz="4" w:space="0"/>
            </w:tcBorders>
            <w:vAlign w:val="center"/>
          </w:tcPr>
          <w:p>
            <w:pPr>
              <w:autoSpaceDE w:val="0"/>
              <w:autoSpaceDN w:val="0"/>
              <w:adjustRightInd w:val="0"/>
              <w:spacing w:line="340" w:lineRule="exact"/>
              <w:ind w:firstLine="0" w:firstLineChars="0"/>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政府部门</w:t>
            </w:r>
          </w:p>
        </w:tc>
        <w:tc>
          <w:tcPr>
            <w:tcW w:w="7641" w:type="dxa"/>
            <w:tcBorders>
              <w:right w:val="double" w:color="auto" w:sz="4" w:space="0"/>
            </w:tcBorders>
            <w:vAlign w:val="center"/>
          </w:tcPr>
          <w:p>
            <w:pPr>
              <w:autoSpaceDE w:val="0"/>
              <w:autoSpaceDN w:val="0"/>
              <w:adjustRightInd w:val="0"/>
              <w:spacing w:line="340" w:lineRule="exact"/>
              <w:ind w:firstLine="560" w:firstLineChars="200"/>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指中华人民共和国政府及其下属部门，包括对</w:t>
            </w:r>
            <w:r>
              <w:rPr>
                <w:rFonts w:ascii="仿宋_GB2312" w:hAnsi="仿宋_GB2312" w:eastAsia="仿宋_GB2312" w:cs="仿宋_GB2312"/>
                <w:color w:val="auto"/>
                <w:sz w:val="28"/>
                <w:szCs w:val="28"/>
                <w:highlight w:val="none"/>
              </w:rPr>
              <w:t>物业空间</w:t>
            </w:r>
            <w:r>
              <w:rPr>
                <w:rFonts w:hint="eastAsia" w:ascii="仿宋_GB2312" w:hAnsi="仿宋_GB2312" w:eastAsia="仿宋_GB2312" w:cs="仿宋_GB2312"/>
                <w:color w:val="auto"/>
                <w:sz w:val="28"/>
                <w:szCs w:val="28"/>
                <w:highlight w:val="none"/>
              </w:rPr>
              <w:t>具有行政管理权的各级政府及其下属部门。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85" w:type="dxa"/>
            <w:tcBorders>
              <w:left w:val="double" w:color="auto" w:sz="4" w:space="0"/>
            </w:tcBorders>
            <w:vAlign w:val="center"/>
          </w:tcPr>
          <w:p>
            <w:pPr>
              <w:autoSpaceDE w:val="0"/>
              <w:autoSpaceDN w:val="0"/>
              <w:adjustRightInd w:val="0"/>
              <w:spacing w:line="340" w:lineRule="exact"/>
              <w:ind w:firstLine="0" w:firstLineChars="0"/>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工作日</w:t>
            </w:r>
          </w:p>
        </w:tc>
        <w:tc>
          <w:tcPr>
            <w:tcW w:w="7641" w:type="dxa"/>
            <w:tcBorders>
              <w:right w:val="double" w:color="auto" w:sz="4" w:space="0"/>
            </w:tcBorders>
            <w:vAlign w:val="center"/>
          </w:tcPr>
          <w:p>
            <w:pPr>
              <w:autoSpaceDE w:val="0"/>
              <w:autoSpaceDN w:val="0"/>
              <w:adjustRightInd w:val="0"/>
              <w:spacing w:line="340" w:lineRule="exact"/>
              <w:ind w:firstLine="560" w:firstLineChars="200"/>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指除中华人民共和国法定节假日、双休日以外的公历日。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85" w:type="dxa"/>
            <w:tcBorders>
              <w:left w:val="double" w:color="auto" w:sz="4" w:space="0"/>
            </w:tcBorders>
            <w:vAlign w:val="center"/>
          </w:tcPr>
          <w:p>
            <w:pPr>
              <w:autoSpaceDE w:val="0"/>
              <w:autoSpaceDN w:val="0"/>
              <w:adjustRightInd w:val="0"/>
              <w:spacing w:line="340" w:lineRule="exact"/>
              <w:ind w:firstLine="0" w:firstLineChars="0"/>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批准</w:t>
            </w:r>
          </w:p>
        </w:tc>
        <w:tc>
          <w:tcPr>
            <w:tcW w:w="7641" w:type="dxa"/>
            <w:tcBorders>
              <w:right w:val="double" w:color="auto" w:sz="4" w:space="0"/>
            </w:tcBorders>
            <w:vAlign w:val="center"/>
          </w:tcPr>
          <w:p>
            <w:pPr>
              <w:autoSpaceDE w:val="0"/>
              <w:autoSpaceDN w:val="0"/>
              <w:adjustRightInd w:val="0"/>
              <w:spacing w:line="340" w:lineRule="exact"/>
              <w:ind w:firstLine="560" w:firstLineChars="200"/>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指</w:t>
            </w:r>
            <w:r>
              <w:rPr>
                <w:rFonts w:hint="eastAsia" w:ascii="仿宋_GB2312" w:hAnsi="仿宋_GB2312" w:eastAsia="仿宋_GB2312" w:cs="仿宋_GB2312"/>
                <w:color w:val="auto"/>
                <w:sz w:val="28"/>
                <w:szCs w:val="28"/>
                <w:highlight w:val="none"/>
                <w:lang w:eastAsia="zh-CN"/>
              </w:rPr>
              <w:t>乙方</w:t>
            </w:r>
            <w:r>
              <w:rPr>
                <w:rFonts w:hint="eastAsia" w:ascii="仿宋_GB2312" w:hAnsi="仿宋_GB2312" w:eastAsia="仿宋_GB2312" w:cs="仿宋_GB2312"/>
                <w:color w:val="auto"/>
                <w:sz w:val="28"/>
                <w:szCs w:val="28"/>
                <w:highlight w:val="none"/>
              </w:rPr>
              <w:t>为履行本合同需从政府部门、上级机构或</w:t>
            </w:r>
            <w:r>
              <w:rPr>
                <w:rFonts w:hint="eastAsia" w:ascii="仿宋_GB2312" w:hAnsi="仿宋_GB2312" w:eastAsia="仿宋_GB2312" w:cs="仿宋_GB2312"/>
                <w:color w:val="auto"/>
                <w:sz w:val="28"/>
                <w:szCs w:val="28"/>
                <w:highlight w:val="none"/>
                <w:lang w:eastAsia="zh-CN"/>
              </w:rPr>
              <w:t>甲方</w:t>
            </w:r>
            <w:r>
              <w:rPr>
                <w:rFonts w:hint="eastAsia" w:ascii="仿宋_GB2312" w:hAnsi="仿宋_GB2312" w:eastAsia="仿宋_GB2312" w:cs="仿宋_GB2312"/>
                <w:color w:val="auto"/>
                <w:sz w:val="28"/>
                <w:szCs w:val="28"/>
                <w:highlight w:val="none"/>
              </w:rPr>
              <w:t>（按需要而定）获得的许可、执照、同意、批准、批核或备案。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85" w:type="dxa"/>
            <w:tcBorders>
              <w:left w:val="double" w:color="auto" w:sz="4" w:space="0"/>
            </w:tcBorders>
            <w:vAlign w:val="center"/>
          </w:tcPr>
          <w:p>
            <w:pPr>
              <w:autoSpaceDE w:val="0"/>
              <w:autoSpaceDN w:val="0"/>
              <w:adjustRightInd w:val="0"/>
              <w:spacing w:line="340" w:lineRule="exact"/>
              <w:ind w:firstLine="0" w:firstLineChars="0"/>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第三方</w:t>
            </w:r>
          </w:p>
        </w:tc>
        <w:tc>
          <w:tcPr>
            <w:tcW w:w="7641" w:type="dxa"/>
            <w:tcBorders>
              <w:right w:val="double" w:color="auto" w:sz="4" w:space="0"/>
            </w:tcBorders>
            <w:vAlign w:val="center"/>
          </w:tcPr>
          <w:p>
            <w:pPr>
              <w:autoSpaceDE w:val="0"/>
              <w:autoSpaceDN w:val="0"/>
              <w:adjustRightInd w:val="0"/>
              <w:spacing w:line="340" w:lineRule="exact"/>
              <w:ind w:firstLine="560" w:firstLineChars="200"/>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在本合同中特指依适用法律和本合同约定，受</w:t>
            </w:r>
            <w:r>
              <w:rPr>
                <w:rFonts w:hint="eastAsia" w:ascii="仿宋_GB2312" w:hAnsi="仿宋_GB2312" w:eastAsia="仿宋_GB2312" w:cs="仿宋_GB2312"/>
                <w:color w:val="auto"/>
                <w:sz w:val="28"/>
                <w:szCs w:val="28"/>
                <w:highlight w:val="none"/>
                <w:lang w:eastAsia="zh-CN"/>
              </w:rPr>
              <w:t>乙方</w:t>
            </w:r>
            <w:r>
              <w:rPr>
                <w:rFonts w:hint="eastAsia" w:ascii="仿宋_GB2312" w:hAnsi="仿宋_GB2312" w:eastAsia="仿宋_GB2312" w:cs="仿宋_GB2312"/>
                <w:color w:val="auto"/>
                <w:sz w:val="28"/>
                <w:szCs w:val="28"/>
                <w:highlight w:val="none"/>
              </w:rPr>
              <w:t>委托履行</w:t>
            </w:r>
            <w:r>
              <w:rPr>
                <w:rFonts w:hint="eastAsia" w:ascii="仿宋_GB2312" w:hAnsi="仿宋_GB2312" w:eastAsia="仿宋_GB2312" w:cs="仿宋_GB2312"/>
                <w:color w:val="auto"/>
                <w:sz w:val="28"/>
                <w:szCs w:val="28"/>
                <w:highlight w:val="none"/>
                <w:lang w:eastAsia="zh-CN"/>
              </w:rPr>
              <w:t>乙方</w:t>
            </w:r>
            <w:r>
              <w:rPr>
                <w:rFonts w:hint="eastAsia" w:ascii="仿宋_GB2312" w:hAnsi="仿宋_GB2312" w:eastAsia="仿宋_GB2312" w:cs="仿宋_GB2312"/>
                <w:color w:val="auto"/>
                <w:sz w:val="28"/>
                <w:szCs w:val="28"/>
                <w:highlight w:val="none"/>
              </w:rPr>
              <w:t>在本合同项下的某一部分义务的设计机构、制造商、供应商、代理公司或经营商户等，但该委托行为任何时候均不能视为对物业空间开发经营的转让和变更，也不能减轻或免除</w:t>
            </w:r>
            <w:r>
              <w:rPr>
                <w:rFonts w:hint="eastAsia" w:ascii="仿宋_GB2312" w:hAnsi="仿宋_GB2312" w:eastAsia="仿宋_GB2312" w:cs="仿宋_GB2312"/>
                <w:color w:val="auto"/>
                <w:sz w:val="28"/>
                <w:szCs w:val="28"/>
                <w:highlight w:val="none"/>
                <w:lang w:eastAsia="zh-CN"/>
              </w:rPr>
              <w:t>乙方</w:t>
            </w:r>
            <w:r>
              <w:rPr>
                <w:rFonts w:hint="eastAsia" w:ascii="仿宋_GB2312" w:hAnsi="仿宋_GB2312" w:eastAsia="仿宋_GB2312" w:cs="仿宋_GB2312"/>
                <w:color w:val="auto"/>
                <w:sz w:val="28"/>
                <w:szCs w:val="28"/>
                <w:highlight w:val="none"/>
              </w:rPr>
              <w:t>在本合同项下的任何责任和义务。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785" w:type="dxa"/>
            <w:tcBorders>
              <w:left w:val="double" w:color="auto" w:sz="4" w:space="0"/>
            </w:tcBorders>
            <w:vAlign w:val="center"/>
          </w:tcPr>
          <w:p>
            <w:pPr>
              <w:autoSpaceDE w:val="0"/>
              <w:autoSpaceDN w:val="0"/>
              <w:adjustRightInd w:val="0"/>
              <w:spacing w:line="340" w:lineRule="exact"/>
              <w:ind w:firstLine="0" w:firstLineChars="0"/>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不可</w:t>
            </w:r>
            <w:r>
              <w:rPr>
                <w:rFonts w:ascii="仿宋_GB2312" w:hAnsi="仿宋_GB2312" w:eastAsia="仿宋_GB2312" w:cs="仿宋_GB2312"/>
                <w:color w:val="auto"/>
                <w:sz w:val="28"/>
                <w:szCs w:val="28"/>
                <w:highlight w:val="none"/>
              </w:rPr>
              <w:t>抗力</w:t>
            </w:r>
          </w:p>
        </w:tc>
        <w:tc>
          <w:tcPr>
            <w:tcW w:w="7641" w:type="dxa"/>
            <w:tcBorders>
              <w:right w:val="double" w:color="auto" w:sz="4" w:space="0"/>
            </w:tcBorders>
            <w:vAlign w:val="center"/>
          </w:tcPr>
          <w:p>
            <w:pPr>
              <w:autoSpaceDE w:val="0"/>
              <w:autoSpaceDN w:val="0"/>
              <w:adjustRightInd w:val="0"/>
              <w:spacing w:line="340" w:lineRule="exact"/>
              <w:ind w:firstLine="560" w:firstLineChars="200"/>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w:t>
            </w:r>
            <w:r>
              <w:rPr>
                <w:rFonts w:ascii="仿宋_GB2312" w:hAnsi="仿宋_GB2312" w:eastAsia="仿宋_GB2312" w:cs="仿宋_GB2312"/>
                <w:color w:val="auto"/>
                <w:sz w:val="28"/>
                <w:szCs w:val="28"/>
                <w:highlight w:val="none"/>
              </w:rPr>
              <w:t>1）不可抗力指不能预见、不能避免并不能克服的客观情况，包括因战争、敌对行动（无论是否宣战）、入侵、外敌行为、军事政变、恐怖主义、动乱、空中飞行物坠落、十四级（含）以上的台风或其他非双方责任或原因造成的罢工、停工、爆炸、火灾</w:t>
            </w:r>
            <w:r>
              <w:rPr>
                <w:rFonts w:hint="eastAsia" w:ascii="仿宋_GB2312" w:hAnsi="仿宋_GB2312" w:eastAsia="仿宋_GB2312" w:cs="仿宋_GB2312"/>
                <w:color w:val="auto"/>
                <w:sz w:val="28"/>
                <w:szCs w:val="28"/>
                <w:highlight w:val="none"/>
              </w:rPr>
              <w:t>、水灾等。</w:t>
            </w:r>
          </w:p>
          <w:p>
            <w:pPr>
              <w:autoSpaceDE w:val="0"/>
              <w:autoSpaceDN w:val="0"/>
              <w:adjustRightInd w:val="0"/>
              <w:spacing w:line="340" w:lineRule="exact"/>
              <w:ind w:firstLine="560" w:firstLineChars="200"/>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w:t>
            </w:r>
            <w:r>
              <w:rPr>
                <w:rFonts w:ascii="仿宋_GB2312" w:hAnsi="仿宋_GB2312" w:eastAsia="仿宋_GB2312" w:cs="仿宋_GB2312"/>
                <w:color w:val="auto"/>
                <w:sz w:val="28"/>
                <w:szCs w:val="28"/>
                <w:highlight w:val="none"/>
              </w:rPr>
              <w:t>2）政府部门、地铁管理部门发出收回物业空间、改变用途、禁止进入、征用等通知，而造成的撤销、搬迁、基建维修或经营方式、经营范围调整等任何一种情况。</w:t>
            </w:r>
          </w:p>
          <w:p>
            <w:pPr>
              <w:autoSpaceDE w:val="0"/>
              <w:autoSpaceDN w:val="0"/>
              <w:adjustRightInd w:val="0"/>
              <w:spacing w:line="340" w:lineRule="exact"/>
              <w:ind w:firstLine="560" w:firstLineChars="200"/>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w:t>
            </w:r>
            <w:r>
              <w:rPr>
                <w:rFonts w:ascii="仿宋_GB2312" w:hAnsi="仿宋_GB2312" w:eastAsia="仿宋_GB2312" w:cs="仿宋_GB2312"/>
                <w:color w:val="auto"/>
                <w:sz w:val="28"/>
                <w:szCs w:val="28"/>
                <w:highlight w:val="none"/>
              </w:rPr>
              <w:t>3）政府部门在重大活动、重大事件、突发事件（反恐、应急演练等）而采取的临时措施行为或其他任何事件发生时的征用或统一调度。</w:t>
            </w:r>
          </w:p>
          <w:p>
            <w:pPr>
              <w:autoSpaceDE w:val="0"/>
              <w:autoSpaceDN w:val="0"/>
              <w:adjustRightInd w:val="0"/>
              <w:spacing w:line="340" w:lineRule="exact"/>
              <w:ind w:firstLine="560" w:firstLineChars="200"/>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w:t>
            </w:r>
            <w:r>
              <w:rPr>
                <w:rFonts w:ascii="仿宋_GB2312" w:hAnsi="仿宋_GB2312" w:eastAsia="仿宋_GB2312" w:cs="仿宋_GB2312"/>
                <w:color w:val="auto"/>
                <w:sz w:val="28"/>
                <w:szCs w:val="28"/>
                <w:highlight w:val="none"/>
              </w:rPr>
              <w:t>4）政府部门没收、征收、征用导致的租赁期提前终止。</w:t>
            </w:r>
          </w:p>
          <w:p>
            <w:pPr>
              <w:autoSpaceDE w:val="0"/>
              <w:autoSpaceDN w:val="0"/>
              <w:adjustRightInd w:val="0"/>
              <w:spacing w:line="340" w:lineRule="exact"/>
              <w:ind w:firstLine="560" w:firstLineChars="200"/>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w:t>
            </w:r>
            <w:r>
              <w:rPr>
                <w:rFonts w:ascii="仿宋_GB2312" w:hAnsi="仿宋_GB2312" w:eastAsia="仿宋_GB2312" w:cs="仿宋_GB2312"/>
                <w:color w:val="auto"/>
                <w:sz w:val="28"/>
                <w:szCs w:val="28"/>
                <w:highlight w:val="none"/>
              </w:rPr>
              <w:t>5）政府部门或地铁管理部门因运营、安全需要等要求进行结构改造、业种调整等。</w:t>
            </w:r>
          </w:p>
        </w:tc>
      </w:tr>
    </w:tbl>
    <w:p>
      <w:pPr>
        <w:overflowPunct w:val="0"/>
        <w:autoSpaceDE w:val="0"/>
        <w:ind w:firstLine="520" w:firstLineChars="186"/>
        <w:jc w:val="left"/>
        <w:rPr>
          <w:rFonts w:hint="eastAsia" w:ascii="仿宋_GB2312" w:hAnsi="宋体" w:eastAsia="仿宋_GB2312"/>
          <w:color w:val="auto"/>
          <w:sz w:val="28"/>
          <w:szCs w:val="28"/>
          <w:highlight w:val="none"/>
        </w:rPr>
      </w:pPr>
      <w:bookmarkStart w:id="0" w:name="_Toc484608490"/>
      <w:bookmarkStart w:id="1" w:name="_Toc409530966"/>
      <w:bookmarkStart w:id="2" w:name="_Toc484419255"/>
      <w:bookmarkStart w:id="3" w:name="_Toc484520530"/>
      <w:bookmarkStart w:id="4" w:name="_Toc483398237"/>
      <w:bookmarkStart w:id="5" w:name="_Toc484418940"/>
      <w:bookmarkStart w:id="6" w:name="_Toc484187995"/>
      <w:bookmarkStart w:id="7" w:name="_Toc484419097"/>
      <w:r>
        <w:rPr>
          <w:rFonts w:hint="eastAsia" w:ascii="仿宋_GB2312" w:hAnsi="宋体" w:eastAsia="仿宋_GB2312"/>
          <w:color w:val="auto"/>
          <w:sz w:val="28"/>
          <w:szCs w:val="28"/>
          <w:highlight w:val="none"/>
        </w:rPr>
        <w:t>1.2 其它特定术语和释义</w:t>
      </w:r>
      <w:bookmarkEnd w:id="0"/>
      <w:bookmarkEnd w:id="1"/>
      <w:bookmarkEnd w:id="2"/>
      <w:bookmarkEnd w:id="3"/>
      <w:bookmarkEnd w:id="4"/>
      <w:bookmarkEnd w:id="5"/>
      <w:bookmarkEnd w:id="6"/>
      <w:bookmarkEnd w:id="7"/>
    </w:p>
    <w:p>
      <w:pPr>
        <w:overflowPunct w:val="0"/>
        <w:autoSpaceDE w:val="0"/>
        <w:ind w:firstLine="520" w:firstLineChars="186"/>
        <w:jc w:val="left"/>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在本合同中，除非上下文另有约定：</w:t>
      </w:r>
    </w:p>
    <w:p>
      <w:pPr>
        <w:overflowPunct w:val="0"/>
        <w:autoSpaceDE w:val="0"/>
        <w:ind w:firstLine="520" w:firstLineChars="186"/>
        <w:jc w:val="left"/>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1.2.1 “人民币”指中华人民共和国法定货币。</w:t>
      </w:r>
    </w:p>
    <w:p>
      <w:pPr>
        <w:overflowPunct w:val="0"/>
        <w:autoSpaceDE w:val="0"/>
        <w:ind w:firstLine="520" w:firstLineChars="186"/>
        <w:jc w:val="left"/>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1.2.2 本合同中提到的条款和附件均为本合同的条款和附件。</w:t>
      </w:r>
    </w:p>
    <w:p>
      <w:pPr>
        <w:overflowPunct w:val="0"/>
        <w:autoSpaceDE w:val="0"/>
        <w:ind w:firstLine="520" w:firstLineChars="186"/>
        <w:jc w:val="left"/>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1.2.3</w:t>
      </w:r>
      <w:r>
        <w:rPr>
          <w:rFonts w:hint="eastAsia" w:ascii="仿宋_GB2312" w:hAnsi="宋体" w:eastAsia="仿宋_GB2312"/>
          <w:color w:val="auto"/>
          <w:sz w:val="28"/>
          <w:szCs w:val="28"/>
          <w:highlight w:val="none"/>
          <w:lang w:val="en-US" w:eastAsia="zh-CN"/>
        </w:rPr>
        <w:t xml:space="preserve"> </w:t>
      </w:r>
      <w:r>
        <w:rPr>
          <w:rFonts w:hint="eastAsia" w:ascii="仿宋_GB2312" w:hAnsi="宋体" w:eastAsia="仿宋_GB2312"/>
          <w:color w:val="auto"/>
          <w:sz w:val="28"/>
          <w:szCs w:val="28"/>
          <w:highlight w:val="none"/>
        </w:rPr>
        <w:t>所指的日（天）、星期、月份和年均指公历的日、星期、月份和年。</w:t>
      </w:r>
    </w:p>
    <w:p>
      <w:pPr>
        <w:overflowPunct w:val="0"/>
        <w:autoSpaceDE w:val="0"/>
        <w:ind w:firstLine="520" w:firstLineChars="186"/>
        <w:jc w:val="left"/>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1.2.4 若要求支付之日为非工作日，则应视要求支付之日为下一个工作日。</w:t>
      </w:r>
    </w:p>
    <w:p>
      <w:pPr>
        <w:overflowPunct w:val="0"/>
        <w:autoSpaceDE w:val="0"/>
        <w:ind w:firstLine="520" w:firstLineChars="186"/>
        <w:jc w:val="left"/>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1.2.5 所指的合同在任何情况下均包括对本合同及时所作的补充、修改、合并、更替或替代。</w:t>
      </w:r>
    </w:p>
    <w:p>
      <w:pPr>
        <w:overflowPunct w:val="0"/>
        <w:autoSpaceDE w:val="0"/>
        <w:ind w:firstLine="520" w:firstLineChars="186"/>
        <w:jc w:val="left"/>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1.2.6 表示单数的词语亦包括该词语的复数，反之亦然。</w:t>
      </w:r>
    </w:p>
    <w:p>
      <w:pPr>
        <w:overflowPunct w:val="0"/>
        <w:autoSpaceDE w:val="0"/>
        <w:ind w:firstLine="520" w:firstLineChars="186"/>
        <w:jc w:val="left"/>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1.2.7 条款标题仅作为参考，不应用于本合同的解释。</w:t>
      </w:r>
    </w:p>
    <w:p>
      <w:pPr>
        <w:overflowPunct w:val="0"/>
        <w:autoSpaceDE w:val="0"/>
        <w:ind w:firstLine="520" w:firstLineChars="186"/>
        <w:jc w:val="left"/>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1.2.8 凡提及任何一项适用法律应解释为包括对该项适用法律及时做出的修改、综合、补充或替代。</w:t>
      </w:r>
    </w:p>
    <w:p>
      <w:pPr>
        <w:overflowPunct w:val="0"/>
        <w:autoSpaceDE w:val="0"/>
        <w:ind w:firstLine="520" w:firstLineChars="186"/>
        <w:jc w:val="left"/>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1.2.9 除非另有表述，时间均指北京时间。</w:t>
      </w:r>
    </w:p>
    <w:p>
      <w:pPr>
        <w:overflowPunct w:val="0"/>
        <w:autoSpaceDE w:val="0"/>
        <w:ind w:firstLine="520" w:firstLineChars="186"/>
        <w:jc w:val="left"/>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 xml:space="preserve">1.2.10 </w:t>
      </w:r>
      <w:bookmarkStart w:id="8" w:name="_Toc409530967"/>
      <w:bookmarkStart w:id="9" w:name="_Toc484608491"/>
      <w:r>
        <w:rPr>
          <w:rFonts w:hint="eastAsia" w:ascii="仿宋_GB2312" w:hAnsi="宋体" w:eastAsia="仿宋_GB2312"/>
          <w:color w:val="auto"/>
          <w:sz w:val="28"/>
          <w:szCs w:val="28"/>
          <w:highlight w:val="none"/>
        </w:rPr>
        <w:t>维护和维修概念的区别是关于设备的损坏程度不同，维护一般是指设备能够正常运行时的定期保养，而维修则是对已经损坏的设备进行修理。</w:t>
      </w:r>
    </w:p>
    <w:p>
      <w:pPr>
        <w:autoSpaceDE w:val="0"/>
        <w:autoSpaceDN w:val="0"/>
        <w:adjustRightInd w:val="0"/>
        <w:ind w:firstLine="562" w:firstLineChars="200"/>
        <w:jc w:val="left"/>
        <w:rPr>
          <w:rFonts w:ascii="黑体" w:hAnsi="黑体" w:eastAsia="黑体" w:cs="黑体"/>
          <w:b/>
          <w:color w:val="auto"/>
          <w:sz w:val="28"/>
          <w:szCs w:val="28"/>
          <w:highlight w:val="none"/>
        </w:rPr>
      </w:pPr>
      <w:r>
        <w:rPr>
          <w:rFonts w:hint="eastAsia" w:ascii="黑体" w:hAnsi="黑体" w:eastAsia="黑体" w:cs="黑体"/>
          <w:b/>
          <w:color w:val="auto"/>
          <w:sz w:val="28"/>
          <w:szCs w:val="28"/>
          <w:highlight w:val="none"/>
        </w:rPr>
        <w:t>第二条</w:t>
      </w:r>
      <w:r>
        <w:rPr>
          <w:rFonts w:ascii="黑体" w:hAnsi="黑体" w:eastAsia="黑体" w:cs="黑体"/>
          <w:b/>
          <w:color w:val="auto"/>
          <w:sz w:val="28"/>
          <w:szCs w:val="28"/>
          <w:highlight w:val="none"/>
        </w:rPr>
        <w:t xml:space="preserve"> </w:t>
      </w:r>
      <w:r>
        <w:rPr>
          <w:rFonts w:hint="eastAsia" w:ascii="黑体" w:hAnsi="黑体" w:eastAsia="黑体" w:cs="黑体"/>
          <w:b/>
          <w:color w:val="auto"/>
          <w:sz w:val="28"/>
          <w:szCs w:val="28"/>
          <w:highlight w:val="none"/>
        </w:rPr>
        <w:t>声明和保证</w:t>
      </w:r>
      <w:bookmarkEnd w:id="8"/>
      <w:bookmarkEnd w:id="9"/>
    </w:p>
    <w:p>
      <w:pPr>
        <w:overflowPunct w:val="0"/>
        <w:autoSpaceDE w:val="0"/>
        <w:ind w:firstLine="520" w:firstLineChars="186"/>
        <w:jc w:val="left"/>
        <w:rPr>
          <w:rFonts w:hint="eastAsia" w:ascii="仿宋_GB2312" w:hAnsi="宋体" w:eastAsia="仿宋_GB2312"/>
          <w:color w:val="auto"/>
          <w:sz w:val="28"/>
          <w:szCs w:val="28"/>
          <w:highlight w:val="none"/>
        </w:rPr>
      </w:pPr>
      <w:bookmarkStart w:id="10" w:name="_Toc484418942"/>
      <w:bookmarkStart w:id="11" w:name="_Toc409530968"/>
      <w:bookmarkStart w:id="12" w:name="_Toc484419257"/>
      <w:bookmarkStart w:id="13" w:name="_Toc483398239"/>
      <w:bookmarkStart w:id="14" w:name="_Toc484608492"/>
      <w:bookmarkStart w:id="15" w:name="_Toc484419099"/>
      <w:bookmarkStart w:id="16" w:name="_Toc484187997"/>
      <w:bookmarkStart w:id="17" w:name="_Toc484520532"/>
      <w:r>
        <w:rPr>
          <w:rFonts w:hint="eastAsia" w:ascii="仿宋_GB2312" w:hAnsi="宋体" w:eastAsia="仿宋_GB2312"/>
          <w:color w:val="auto"/>
          <w:sz w:val="28"/>
          <w:szCs w:val="28"/>
          <w:highlight w:val="none"/>
        </w:rPr>
        <w:t xml:space="preserve">2.1 </w:t>
      </w:r>
      <w:r>
        <w:rPr>
          <w:rFonts w:hint="eastAsia" w:ascii="仿宋_GB2312" w:hAnsi="宋体" w:eastAsia="仿宋_GB2312"/>
          <w:color w:val="auto"/>
          <w:sz w:val="28"/>
          <w:szCs w:val="28"/>
          <w:highlight w:val="none"/>
          <w:lang w:eastAsia="zh-CN"/>
        </w:rPr>
        <w:t>甲方</w:t>
      </w:r>
      <w:r>
        <w:rPr>
          <w:rFonts w:hint="eastAsia" w:ascii="仿宋_GB2312" w:hAnsi="宋体" w:eastAsia="仿宋_GB2312"/>
          <w:color w:val="auto"/>
          <w:sz w:val="28"/>
          <w:szCs w:val="28"/>
          <w:highlight w:val="none"/>
        </w:rPr>
        <w:t>和</w:t>
      </w:r>
      <w:r>
        <w:rPr>
          <w:rFonts w:hint="eastAsia" w:ascii="仿宋_GB2312" w:hAnsi="宋体" w:eastAsia="仿宋_GB2312"/>
          <w:color w:val="auto"/>
          <w:sz w:val="28"/>
          <w:szCs w:val="28"/>
          <w:highlight w:val="none"/>
          <w:lang w:eastAsia="zh-CN"/>
        </w:rPr>
        <w:t>乙方</w:t>
      </w:r>
      <w:r>
        <w:rPr>
          <w:rFonts w:hint="eastAsia" w:ascii="仿宋_GB2312" w:hAnsi="宋体" w:eastAsia="仿宋_GB2312"/>
          <w:color w:val="auto"/>
          <w:sz w:val="28"/>
          <w:szCs w:val="28"/>
          <w:highlight w:val="none"/>
        </w:rPr>
        <w:t>在此共同声明和保证：</w:t>
      </w:r>
      <w:bookmarkEnd w:id="10"/>
      <w:bookmarkEnd w:id="11"/>
      <w:bookmarkEnd w:id="12"/>
      <w:bookmarkEnd w:id="13"/>
      <w:bookmarkEnd w:id="14"/>
      <w:bookmarkEnd w:id="15"/>
      <w:bookmarkEnd w:id="16"/>
      <w:bookmarkEnd w:id="17"/>
    </w:p>
    <w:p>
      <w:pPr>
        <w:overflowPunct w:val="0"/>
        <w:autoSpaceDE w:val="0"/>
        <w:ind w:firstLine="520" w:firstLineChars="186"/>
        <w:jc w:val="left"/>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2.1.1 双方是根据中华人民共和国法律合法成立、有效存续的法人，具有完全的民事行为能力和民事权利能力，有权签订本合同，并能以自身名义行使及履行其在本合同项下的权利和义务。</w:t>
      </w:r>
    </w:p>
    <w:p>
      <w:pPr>
        <w:overflowPunct w:val="0"/>
        <w:autoSpaceDE w:val="0"/>
        <w:ind w:firstLine="520" w:firstLineChars="186"/>
        <w:jc w:val="left"/>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2.1.2 双方签署和履行本合同是自身的真实意思表示，并已经取得所需的合法授权，各方在本合同中的各项义务均为合法、有效。</w:t>
      </w:r>
    </w:p>
    <w:p>
      <w:pPr>
        <w:overflowPunct w:val="0"/>
        <w:autoSpaceDE w:val="0"/>
        <w:ind w:firstLine="520" w:firstLineChars="186"/>
        <w:jc w:val="left"/>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2.1.3 双方在签署和履行本合同过程中提供的全部文件、报表、资料及信息是真实、准确、完整和有效的，未隐瞒任何可能影响本合同履行的相关信息，也未提供虚假的资料或信息。</w:t>
      </w:r>
    </w:p>
    <w:p>
      <w:pPr>
        <w:overflowPunct w:val="0"/>
        <w:autoSpaceDE w:val="0"/>
        <w:ind w:firstLine="520" w:firstLineChars="186"/>
        <w:jc w:val="left"/>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2.1.4 本合同是</w:t>
      </w:r>
      <w:r>
        <w:rPr>
          <w:rFonts w:hint="eastAsia" w:ascii="仿宋_GB2312" w:hAnsi="宋体" w:eastAsia="仿宋_GB2312"/>
          <w:color w:val="auto"/>
          <w:sz w:val="28"/>
          <w:szCs w:val="28"/>
          <w:highlight w:val="none"/>
          <w:lang w:eastAsia="zh-CN"/>
        </w:rPr>
        <w:t>甲方</w:t>
      </w:r>
      <w:r>
        <w:rPr>
          <w:rFonts w:hint="eastAsia" w:ascii="仿宋_GB2312" w:hAnsi="宋体" w:eastAsia="仿宋_GB2312"/>
          <w:color w:val="auto"/>
          <w:sz w:val="28"/>
          <w:szCs w:val="28"/>
          <w:highlight w:val="none"/>
        </w:rPr>
        <w:t>、</w:t>
      </w:r>
      <w:r>
        <w:rPr>
          <w:rFonts w:hint="eastAsia" w:ascii="仿宋_GB2312" w:hAnsi="宋体" w:eastAsia="仿宋_GB2312"/>
          <w:color w:val="auto"/>
          <w:sz w:val="28"/>
          <w:szCs w:val="28"/>
          <w:highlight w:val="none"/>
          <w:lang w:eastAsia="zh-CN"/>
        </w:rPr>
        <w:t>乙方</w:t>
      </w:r>
      <w:r>
        <w:rPr>
          <w:rFonts w:hint="eastAsia" w:ascii="仿宋_GB2312" w:hAnsi="宋体" w:eastAsia="仿宋_GB2312"/>
          <w:color w:val="auto"/>
          <w:sz w:val="28"/>
          <w:szCs w:val="28"/>
          <w:highlight w:val="none"/>
        </w:rPr>
        <w:t>双方约定的行使权利和义务的依据，也是</w:t>
      </w:r>
      <w:r>
        <w:rPr>
          <w:rFonts w:hint="eastAsia" w:ascii="仿宋_GB2312" w:hAnsi="宋体" w:eastAsia="仿宋_GB2312"/>
          <w:color w:val="auto"/>
          <w:sz w:val="28"/>
          <w:szCs w:val="28"/>
          <w:highlight w:val="none"/>
          <w:lang w:eastAsia="zh-CN"/>
        </w:rPr>
        <w:t>甲方</w:t>
      </w:r>
      <w:r>
        <w:rPr>
          <w:rFonts w:hint="eastAsia" w:ascii="仿宋_GB2312" w:hAnsi="宋体" w:eastAsia="仿宋_GB2312"/>
          <w:color w:val="auto"/>
          <w:sz w:val="28"/>
          <w:szCs w:val="28"/>
          <w:highlight w:val="none"/>
        </w:rPr>
        <w:t>按照本合同对</w:t>
      </w:r>
      <w:r>
        <w:rPr>
          <w:rFonts w:hint="eastAsia" w:ascii="仿宋_GB2312" w:hAnsi="宋体" w:eastAsia="仿宋_GB2312"/>
          <w:color w:val="auto"/>
          <w:sz w:val="28"/>
          <w:szCs w:val="28"/>
          <w:highlight w:val="none"/>
          <w:lang w:eastAsia="zh-CN"/>
        </w:rPr>
        <w:t>乙方</w:t>
      </w:r>
      <w:r>
        <w:rPr>
          <w:rFonts w:hint="eastAsia" w:ascii="仿宋_GB2312" w:hAnsi="宋体" w:eastAsia="仿宋_GB2312"/>
          <w:color w:val="auto"/>
          <w:sz w:val="28"/>
          <w:szCs w:val="28"/>
          <w:highlight w:val="none"/>
        </w:rPr>
        <w:t>在合同约定期限的经营行为实施监督和收取租金等的依据。</w:t>
      </w:r>
    </w:p>
    <w:p>
      <w:pPr>
        <w:overflowPunct w:val="0"/>
        <w:autoSpaceDE w:val="0"/>
        <w:ind w:firstLine="520" w:firstLineChars="186"/>
        <w:jc w:val="left"/>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2.1.5 本合同并不限制或以其他方式影响</w:t>
      </w:r>
      <w:r>
        <w:rPr>
          <w:rFonts w:hint="eastAsia" w:ascii="仿宋_GB2312" w:hAnsi="宋体" w:eastAsia="仿宋_GB2312"/>
          <w:color w:val="auto"/>
          <w:sz w:val="28"/>
          <w:szCs w:val="28"/>
          <w:highlight w:val="none"/>
          <w:lang w:eastAsia="zh-CN"/>
        </w:rPr>
        <w:t>甲方</w:t>
      </w:r>
      <w:r>
        <w:rPr>
          <w:rFonts w:hint="eastAsia" w:ascii="仿宋_GB2312" w:hAnsi="宋体" w:eastAsia="仿宋_GB2312"/>
          <w:color w:val="auto"/>
          <w:sz w:val="28"/>
          <w:szCs w:val="28"/>
          <w:highlight w:val="none"/>
        </w:rPr>
        <w:t>行使其法定权利</w:t>
      </w:r>
      <w:bookmarkStart w:id="18" w:name="_Toc484520533"/>
      <w:bookmarkStart w:id="19" w:name="_Toc484419258"/>
      <w:bookmarkStart w:id="20" w:name="_Toc484419100"/>
      <w:bookmarkStart w:id="21" w:name="_Toc484187998"/>
      <w:bookmarkStart w:id="22" w:name="_Toc484608493"/>
      <w:bookmarkStart w:id="23" w:name="_Toc483398240"/>
      <w:bookmarkStart w:id="24" w:name="_Toc484418943"/>
      <w:r>
        <w:rPr>
          <w:rFonts w:hint="eastAsia" w:ascii="仿宋_GB2312" w:hAnsi="宋体" w:eastAsia="仿宋_GB2312"/>
          <w:color w:val="auto"/>
          <w:sz w:val="28"/>
          <w:szCs w:val="28"/>
          <w:highlight w:val="none"/>
        </w:rPr>
        <w:t>。</w:t>
      </w:r>
    </w:p>
    <w:p>
      <w:pPr>
        <w:overflowPunct w:val="0"/>
        <w:autoSpaceDE w:val="0"/>
        <w:ind w:firstLine="520" w:firstLineChars="186"/>
        <w:jc w:val="left"/>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 xml:space="preserve">2.2 </w:t>
      </w:r>
      <w:r>
        <w:rPr>
          <w:rFonts w:hint="eastAsia" w:ascii="仿宋_GB2312" w:hAnsi="宋体" w:eastAsia="仿宋_GB2312"/>
          <w:color w:val="auto"/>
          <w:sz w:val="28"/>
          <w:szCs w:val="28"/>
          <w:highlight w:val="none"/>
          <w:lang w:eastAsia="zh-CN"/>
        </w:rPr>
        <w:t>乙方</w:t>
      </w:r>
      <w:r>
        <w:rPr>
          <w:rFonts w:hint="eastAsia" w:ascii="仿宋_GB2312" w:hAnsi="宋体" w:eastAsia="仿宋_GB2312"/>
          <w:color w:val="auto"/>
          <w:sz w:val="28"/>
          <w:szCs w:val="28"/>
          <w:highlight w:val="none"/>
        </w:rPr>
        <w:t>单独保证并声明：</w:t>
      </w:r>
      <w:bookmarkEnd w:id="18"/>
      <w:bookmarkEnd w:id="19"/>
      <w:bookmarkEnd w:id="20"/>
      <w:bookmarkEnd w:id="21"/>
      <w:bookmarkEnd w:id="22"/>
      <w:bookmarkEnd w:id="23"/>
      <w:bookmarkEnd w:id="24"/>
    </w:p>
    <w:p>
      <w:pPr>
        <w:overflowPunct w:val="0"/>
        <w:autoSpaceDE w:val="0"/>
        <w:ind w:firstLine="520" w:firstLineChars="186"/>
        <w:jc w:val="left"/>
        <w:rPr>
          <w:rFonts w:hint="default" w:ascii="仿宋_GB2312" w:hAnsi="宋体" w:eastAsia="仿宋_GB2312"/>
          <w:color w:val="auto"/>
          <w:sz w:val="28"/>
          <w:szCs w:val="28"/>
          <w:highlight w:val="none"/>
          <w:lang w:val="en-US" w:eastAsia="zh-CN"/>
        </w:rPr>
      </w:pPr>
      <w:r>
        <w:rPr>
          <w:rFonts w:hint="default" w:ascii="仿宋_GB2312" w:hAnsi="宋体" w:eastAsia="仿宋_GB2312"/>
          <w:color w:val="auto"/>
          <w:sz w:val="28"/>
          <w:szCs w:val="28"/>
          <w:highlight w:val="none"/>
          <w:lang w:val="en-US" w:eastAsia="zh-CN"/>
        </w:rPr>
        <w:t>2.2.1</w:t>
      </w:r>
      <w:r>
        <w:rPr>
          <w:rFonts w:hint="eastAsia" w:ascii="仿宋_GB2312" w:hAnsi="宋体" w:eastAsia="仿宋_GB2312"/>
          <w:color w:val="auto"/>
          <w:sz w:val="28"/>
          <w:szCs w:val="28"/>
          <w:highlight w:val="none"/>
          <w:lang w:val="en-US" w:eastAsia="zh-CN"/>
        </w:rPr>
        <w:t xml:space="preserve"> </w:t>
      </w:r>
      <w:r>
        <w:rPr>
          <w:rFonts w:hint="default" w:ascii="仿宋_GB2312" w:hAnsi="宋体" w:eastAsia="仿宋_GB2312"/>
          <w:color w:val="auto"/>
          <w:sz w:val="28"/>
          <w:szCs w:val="28"/>
          <w:highlight w:val="none"/>
          <w:lang w:val="en-US" w:eastAsia="zh-CN"/>
        </w:rPr>
        <w:t>乙方</w:t>
      </w:r>
      <w:r>
        <w:rPr>
          <w:rFonts w:hint="eastAsia" w:ascii="仿宋_GB2312" w:hAnsi="宋体" w:eastAsia="仿宋_GB2312"/>
          <w:color w:val="auto"/>
          <w:sz w:val="28"/>
          <w:szCs w:val="28"/>
          <w:highlight w:val="none"/>
        </w:rPr>
        <w:t>明确知晓</w:t>
      </w:r>
      <w:r>
        <w:rPr>
          <w:rFonts w:hint="default" w:ascii="仿宋_GB2312" w:hAnsi="宋体" w:eastAsia="仿宋_GB2312"/>
          <w:color w:val="auto"/>
          <w:sz w:val="28"/>
          <w:szCs w:val="28"/>
          <w:highlight w:val="none"/>
        </w:rPr>
        <w:t>出租</w:t>
      </w:r>
      <w:r>
        <w:rPr>
          <w:rFonts w:hint="eastAsia" w:ascii="仿宋_GB2312" w:hAnsi="宋体" w:eastAsia="仿宋_GB2312"/>
          <w:color w:val="auto"/>
          <w:sz w:val="28"/>
          <w:szCs w:val="28"/>
          <w:highlight w:val="none"/>
        </w:rPr>
        <w:t>标的物暂未办理</w:t>
      </w:r>
      <w:r>
        <w:rPr>
          <w:rFonts w:hint="default" w:ascii="仿宋_GB2312" w:hAnsi="宋体" w:eastAsia="仿宋_GB2312"/>
          <w:color w:val="auto"/>
          <w:sz w:val="28"/>
          <w:szCs w:val="28"/>
          <w:highlight w:val="none"/>
        </w:rPr>
        <w:t>完成可用于商业经营的相关行政</w:t>
      </w:r>
      <w:r>
        <w:rPr>
          <w:rFonts w:hint="eastAsia" w:ascii="仿宋_GB2312" w:hAnsi="宋体" w:eastAsia="仿宋_GB2312"/>
          <w:color w:val="auto"/>
          <w:sz w:val="28"/>
          <w:szCs w:val="28"/>
          <w:highlight w:val="none"/>
        </w:rPr>
        <w:t>许可证，签订</w:t>
      </w:r>
      <w:r>
        <w:rPr>
          <w:rFonts w:hint="default" w:ascii="仿宋_GB2312" w:hAnsi="宋体" w:eastAsia="仿宋_GB2312"/>
          <w:color w:val="auto"/>
          <w:sz w:val="28"/>
          <w:szCs w:val="28"/>
          <w:highlight w:val="none"/>
        </w:rPr>
        <w:t>本</w:t>
      </w:r>
      <w:r>
        <w:rPr>
          <w:rFonts w:hint="eastAsia" w:ascii="仿宋_GB2312" w:hAnsi="宋体" w:eastAsia="仿宋_GB2312"/>
          <w:color w:val="auto"/>
          <w:sz w:val="28"/>
          <w:szCs w:val="28"/>
          <w:highlight w:val="none"/>
        </w:rPr>
        <w:t>合同可能存在的</w:t>
      </w:r>
      <w:r>
        <w:rPr>
          <w:rFonts w:hint="default" w:ascii="仿宋_GB2312" w:hAnsi="宋体" w:eastAsia="仿宋_GB2312"/>
          <w:color w:val="auto"/>
          <w:sz w:val="28"/>
          <w:szCs w:val="28"/>
          <w:highlight w:val="none"/>
        </w:rPr>
        <w:t>潜在</w:t>
      </w:r>
      <w:r>
        <w:rPr>
          <w:rFonts w:hint="eastAsia" w:ascii="仿宋_GB2312" w:hAnsi="宋体" w:eastAsia="仿宋_GB2312"/>
          <w:color w:val="auto"/>
          <w:sz w:val="28"/>
          <w:szCs w:val="28"/>
          <w:highlight w:val="none"/>
        </w:rPr>
        <w:t>风险，并自愿签订</w:t>
      </w:r>
      <w:r>
        <w:rPr>
          <w:rFonts w:hint="default" w:ascii="仿宋_GB2312" w:hAnsi="宋体" w:eastAsia="仿宋_GB2312"/>
          <w:color w:val="auto"/>
          <w:sz w:val="28"/>
          <w:szCs w:val="28"/>
          <w:highlight w:val="none"/>
        </w:rPr>
        <w:t>本</w:t>
      </w:r>
      <w:r>
        <w:rPr>
          <w:rFonts w:hint="eastAsia" w:ascii="仿宋_GB2312" w:hAnsi="宋体" w:eastAsia="仿宋_GB2312"/>
          <w:color w:val="auto"/>
          <w:sz w:val="28"/>
          <w:szCs w:val="28"/>
          <w:highlight w:val="none"/>
        </w:rPr>
        <w:t>合同，由此产生一切后果（包括但不限于</w:t>
      </w:r>
      <w:r>
        <w:rPr>
          <w:rFonts w:hint="default" w:ascii="仿宋_GB2312" w:hAnsi="宋体" w:eastAsia="仿宋_GB2312"/>
          <w:color w:val="auto"/>
          <w:sz w:val="28"/>
          <w:szCs w:val="28"/>
          <w:highlight w:val="none"/>
        </w:rPr>
        <w:t>本</w:t>
      </w:r>
      <w:r>
        <w:rPr>
          <w:rFonts w:hint="eastAsia" w:ascii="仿宋_GB2312" w:hAnsi="宋体" w:eastAsia="仿宋_GB2312"/>
          <w:color w:val="auto"/>
          <w:sz w:val="28"/>
          <w:szCs w:val="28"/>
          <w:highlight w:val="none"/>
        </w:rPr>
        <w:t>合同无效、解除或其他任何原因不能履行）由</w:t>
      </w:r>
      <w:r>
        <w:rPr>
          <w:rFonts w:hint="default" w:ascii="仿宋_GB2312" w:hAnsi="宋体" w:eastAsia="仿宋_GB2312"/>
          <w:color w:val="auto"/>
          <w:sz w:val="28"/>
          <w:szCs w:val="28"/>
          <w:highlight w:val="none"/>
          <w:lang w:eastAsia="zh-CN"/>
        </w:rPr>
        <w:t>乙方</w:t>
      </w:r>
      <w:r>
        <w:rPr>
          <w:rFonts w:hint="default" w:ascii="仿宋_GB2312" w:hAnsi="宋体" w:eastAsia="仿宋_GB2312"/>
          <w:color w:val="auto"/>
          <w:sz w:val="28"/>
          <w:szCs w:val="28"/>
          <w:highlight w:val="none"/>
        </w:rPr>
        <w:t>自行</w:t>
      </w:r>
      <w:r>
        <w:rPr>
          <w:rFonts w:hint="eastAsia" w:ascii="仿宋_GB2312" w:hAnsi="宋体" w:eastAsia="仿宋_GB2312"/>
          <w:color w:val="auto"/>
          <w:sz w:val="28"/>
          <w:szCs w:val="28"/>
          <w:highlight w:val="none"/>
        </w:rPr>
        <w:t>承担，</w:t>
      </w:r>
      <w:r>
        <w:rPr>
          <w:rFonts w:hint="default" w:ascii="仿宋_GB2312" w:hAnsi="宋体" w:eastAsia="仿宋_GB2312"/>
          <w:color w:val="auto"/>
          <w:sz w:val="28"/>
          <w:szCs w:val="28"/>
          <w:highlight w:val="none"/>
          <w:lang w:eastAsia="zh-CN"/>
        </w:rPr>
        <w:t>乙方</w:t>
      </w:r>
      <w:r>
        <w:rPr>
          <w:rFonts w:hint="eastAsia" w:ascii="仿宋_GB2312" w:hAnsi="宋体" w:eastAsia="仿宋_GB2312"/>
          <w:color w:val="auto"/>
          <w:sz w:val="28"/>
          <w:szCs w:val="28"/>
          <w:highlight w:val="none"/>
        </w:rPr>
        <w:t>不得向</w:t>
      </w:r>
      <w:r>
        <w:rPr>
          <w:rFonts w:hint="default" w:ascii="仿宋_GB2312" w:hAnsi="宋体" w:eastAsia="仿宋_GB2312"/>
          <w:color w:val="auto"/>
          <w:sz w:val="28"/>
          <w:szCs w:val="28"/>
          <w:highlight w:val="none"/>
          <w:lang w:eastAsia="zh-CN"/>
        </w:rPr>
        <w:t>甲方</w:t>
      </w:r>
      <w:r>
        <w:rPr>
          <w:rFonts w:hint="eastAsia" w:ascii="仿宋_GB2312" w:hAnsi="宋体" w:eastAsia="仿宋_GB2312"/>
          <w:color w:val="auto"/>
          <w:sz w:val="28"/>
          <w:szCs w:val="28"/>
          <w:highlight w:val="none"/>
        </w:rPr>
        <w:t>主张任何补偿或赔偿责任。</w:t>
      </w:r>
    </w:p>
    <w:p>
      <w:pPr>
        <w:overflowPunct w:val="0"/>
        <w:autoSpaceDE w:val="0"/>
        <w:ind w:firstLine="520" w:firstLineChars="186"/>
        <w:jc w:val="left"/>
        <w:rPr>
          <w:rFonts w:hint="default" w:ascii="仿宋_GB2312" w:hAnsi="宋体" w:eastAsia="仿宋_GB2312"/>
          <w:color w:val="auto"/>
          <w:sz w:val="28"/>
          <w:szCs w:val="28"/>
          <w:highlight w:val="none"/>
          <w:lang w:val="en-US" w:eastAsia="zh-CN"/>
        </w:rPr>
      </w:pPr>
      <w:r>
        <w:rPr>
          <w:rFonts w:hint="default" w:ascii="仿宋_GB2312" w:hAnsi="宋体" w:eastAsia="仿宋_GB2312"/>
          <w:color w:val="auto"/>
          <w:sz w:val="28"/>
          <w:szCs w:val="28"/>
          <w:highlight w:val="none"/>
          <w:lang w:val="en-US" w:eastAsia="zh-CN"/>
        </w:rPr>
        <w:t>2.2.2</w:t>
      </w:r>
      <w:r>
        <w:rPr>
          <w:rFonts w:hint="eastAsia" w:ascii="仿宋_GB2312" w:hAnsi="宋体" w:eastAsia="仿宋_GB2312"/>
          <w:color w:val="auto"/>
          <w:sz w:val="28"/>
          <w:szCs w:val="28"/>
          <w:highlight w:val="none"/>
          <w:lang w:val="en-US" w:eastAsia="zh-CN"/>
        </w:rPr>
        <w:t xml:space="preserve"> 乙方</w:t>
      </w:r>
      <w:r>
        <w:rPr>
          <w:rFonts w:hint="default" w:ascii="仿宋_GB2312" w:hAnsi="宋体" w:eastAsia="仿宋_GB2312"/>
          <w:color w:val="auto"/>
          <w:sz w:val="28"/>
          <w:szCs w:val="28"/>
          <w:highlight w:val="none"/>
        </w:rPr>
        <w:t>愿意且有能力承担本项目的全部投资及</w:t>
      </w:r>
      <w:r>
        <w:rPr>
          <w:rFonts w:hint="eastAsia" w:ascii="仿宋_GB2312" w:hAnsi="宋体" w:eastAsia="仿宋_GB2312"/>
          <w:color w:val="auto"/>
          <w:sz w:val="28"/>
          <w:szCs w:val="28"/>
          <w:highlight w:val="none"/>
          <w:lang w:val="en-US" w:eastAsia="zh-CN"/>
        </w:rPr>
        <w:t>办理</w:t>
      </w:r>
      <w:r>
        <w:rPr>
          <w:rFonts w:hint="default" w:ascii="仿宋_GB2312" w:hAnsi="宋体" w:eastAsia="仿宋_GB2312"/>
          <w:color w:val="auto"/>
          <w:sz w:val="28"/>
          <w:szCs w:val="28"/>
          <w:highlight w:val="none"/>
        </w:rPr>
        <w:t>相关的政府行政审批手续</w:t>
      </w:r>
      <w:r>
        <w:rPr>
          <w:rFonts w:hint="default" w:ascii="仿宋_GB2312" w:hAnsi="宋体" w:eastAsia="仿宋_GB2312"/>
          <w:color w:val="auto"/>
          <w:sz w:val="28"/>
          <w:szCs w:val="28"/>
          <w:highlight w:val="none"/>
          <w:lang w:eastAsia="zh-CN"/>
        </w:rPr>
        <w:t>。</w:t>
      </w:r>
    </w:p>
    <w:p>
      <w:pPr>
        <w:overflowPunct w:val="0"/>
        <w:autoSpaceDE w:val="0"/>
        <w:ind w:firstLine="520" w:firstLineChars="186"/>
        <w:jc w:val="left"/>
        <w:rPr>
          <w:rFonts w:hint="eastAsia" w:ascii="仿宋_GB2312" w:hAnsi="宋体" w:eastAsia="仿宋_GB2312"/>
          <w:color w:val="auto"/>
          <w:sz w:val="28"/>
          <w:szCs w:val="28"/>
          <w:highlight w:val="none"/>
        </w:rPr>
      </w:pPr>
      <w:r>
        <w:rPr>
          <w:rFonts w:hint="default" w:ascii="仿宋_GB2312" w:hAnsi="宋体" w:eastAsia="仿宋_GB2312"/>
          <w:color w:val="auto"/>
          <w:sz w:val="28"/>
          <w:szCs w:val="28"/>
          <w:highlight w:val="none"/>
          <w:lang w:val="en-US" w:eastAsia="zh-CN"/>
        </w:rPr>
        <w:t xml:space="preserve">2.2.3 乙方对参与本次承租提交的相关资料真实性、合法性负责，并承担弄虚作假可能带来的一切法律责任。   </w:t>
      </w:r>
    </w:p>
    <w:p>
      <w:pPr>
        <w:overflowPunct w:val="0"/>
        <w:autoSpaceDE w:val="0"/>
        <w:ind w:firstLine="520" w:firstLineChars="186"/>
        <w:jc w:val="left"/>
        <w:rPr>
          <w:rFonts w:hint="eastAsia" w:ascii="仿宋_GB2312" w:hAnsi="宋体" w:eastAsia="仿宋_GB2312"/>
          <w:color w:val="auto"/>
          <w:sz w:val="28"/>
          <w:szCs w:val="28"/>
          <w:highlight w:val="none"/>
        </w:rPr>
      </w:pPr>
      <w:bookmarkStart w:id="25" w:name="_Toc484608495"/>
      <w:bookmarkStart w:id="26" w:name="_Toc484419101"/>
      <w:bookmarkStart w:id="27" w:name="_Toc484187999"/>
      <w:bookmarkStart w:id="28" w:name="_Toc484419259"/>
      <w:bookmarkStart w:id="29" w:name="_Toc484418944"/>
      <w:bookmarkStart w:id="30" w:name="_Toc409530969"/>
      <w:bookmarkStart w:id="31" w:name="_Toc484520534"/>
      <w:bookmarkStart w:id="32" w:name="_Toc483398241"/>
      <w:r>
        <w:rPr>
          <w:rFonts w:hint="eastAsia" w:ascii="仿宋_GB2312" w:hAnsi="宋体" w:eastAsia="仿宋_GB2312"/>
          <w:color w:val="auto"/>
          <w:sz w:val="28"/>
          <w:szCs w:val="28"/>
          <w:highlight w:val="none"/>
        </w:rPr>
        <w:t>2.2.</w:t>
      </w:r>
      <w:r>
        <w:rPr>
          <w:rFonts w:hint="eastAsia" w:ascii="仿宋_GB2312" w:hAnsi="宋体" w:eastAsia="仿宋_GB2312"/>
          <w:color w:val="auto"/>
          <w:sz w:val="28"/>
          <w:szCs w:val="28"/>
          <w:highlight w:val="none"/>
          <w:lang w:val="en-US" w:eastAsia="zh-CN"/>
        </w:rPr>
        <w:t>4</w:t>
      </w:r>
      <w:r>
        <w:rPr>
          <w:rFonts w:hint="eastAsia" w:ascii="仿宋_GB2312" w:hAnsi="宋体" w:eastAsia="仿宋_GB2312"/>
          <w:color w:val="auto"/>
          <w:sz w:val="28"/>
          <w:szCs w:val="28"/>
          <w:highlight w:val="none"/>
        </w:rPr>
        <w:t xml:space="preserve"> </w:t>
      </w:r>
      <w:r>
        <w:rPr>
          <w:rFonts w:hint="eastAsia" w:ascii="仿宋_GB2312" w:hAnsi="宋体" w:eastAsia="仿宋_GB2312"/>
          <w:color w:val="auto"/>
          <w:sz w:val="28"/>
          <w:szCs w:val="28"/>
          <w:highlight w:val="none"/>
          <w:lang w:eastAsia="zh-CN"/>
        </w:rPr>
        <w:t>乙方</w:t>
      </w:r>
      <w:r>
        <w:rPr>
          <w:rFonts w:hint="eastAsia" w:ascii="仿宋_GB2312" w:hAnsi="宋体" w:eastAsia="仿宋_GB2312"/>
          <w:color w:val="auto"/>
          <w:sz w:val="28"/>
          <w:szCs w:val="28"/>
          <w:highlight w:val="none"/>
        </w:rPr>
        <w:t>在签约前，已对出租标的进行现场实地查勘，充分了解现标的物相关情况，自愿按出租标的现状和本合同约定承租。</w:t>
      </w:r>
    </w:p>
    <w:p>
      <w:pPr>
        <w:overflowPunct w:val="0"/>
        <w:autoSpaceDE w:val="0"/>
        <w:ind w:firstLine="520" w:firstLineChars="186"/>
        <w:jc w:val="left"/>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2.3 不转租</w:t>
      </w:r>
    </w:p>
    <w:bookmarkEnd w:id="25"/>
    <w:bookmarkEnd w:id="26"/>
    <w:bookmarkEnd w:id="27"/>
    <w:bookmarkEnd w:id="28"/>
    <w:bookmarkEnd w:id="29"/>
    <w:bookmarkEnd w:id="30"/>
    <w:bookmarkEnd w:id="31"/>
    <w:bookmarkEnd w:id="32"/>
    <w:p>
      <w:pPr>
        <w:overflowPunct w:val="0"/>
        <w:autoSpaceDE w:val="0"/>
        <w:ind w:firstLine="520" w:firstLineChars="186"/>
        <w:jc w:val="left"/>
        <w:rPr>
          <w:rFonts w:hint="eastAsia" w:ascii="仿宋_GB2312" w:hAnsi="宋体" w:eastAsia="仿宋_GB2312"/>
          <w:color w:val="auto"/>
          <w:sz w:val="28"/>
          <w:szCs w:val="28"/>
          <w:highlight w:val="none"/>
        </w:rPr>
      </w:pPr>
      <w:bookmarkStart w:id="33" w:name="_Toc484188000"/>
      <w:bookmarkStart w:id="34" w:name="_Toc484419260"/>
      <w:bookmarkStart w:id="35" w:name="_Toc484418945"/>
      <w:bookmarkStart w:id="36" w:name="_Toc484608496"/>
      <w:bookmarkStart w:id="37" w:name="_Toc484419102"/>
      <w:bookmarkStart w:id="38" w:name="_Toc483398242"/>
      <w:bookmarkStart w:id="39" w:name="_Toc409530970"/>
      <w:bookmarkStart w:id="40" w:name="_Toc484520535"/>
      <w:r>
        <w:rPr>
          <w:rFonts w:hint="eastAsia" w:ascii="仿宋_GB2312" w:hAnsi="宋体" w:eastAsia="仿宋_GB2312"/>
          <w:color w:val="auto"/>
          <w:sz w:val="28"/>
          <w:szCs w:val="28"/>
          <w:highlight w:val="none"/>
          <w:lang w:eastAsia="zh-CN"/>
        </w:rPr>
        <w:t>乙方</w:t>
      </w:r>
      <w:r>
        <w:rPr>
          <w:rFonts w:hint="eastAsia" w:ascii="仿宋_GB2312" w:hAnsi="宋体" w:eastAsia="仿宋_GB2312"/>
          <w:color w:val="auto"/>
          <w:sz w:val="28"/>
          <w:szCs w:val="28"/>
          <w:highlight w:val="none"/>
        </w:rPr>
        <w:t>不得以</w:t>
      </w:r>
      <w:r>
        <w:rPr>
          <w:rFonts w:hint="eastAsia" w:ascii="仿宋_GB2312" w:hAnsi="宋体" w:eastAsia="仿宋_GB2312"/>
          <w:color w:val="auto"/>
          <w:sz w:val="28"/>
          <w:szCs w:val="28"/>
          <w:highlight w:val="none"/>
          <w:lang w:eastAsia="zh-CN"/>
        </w:rPr>
        <w:t>任何形式将出租标的用于</w:t>
      </w:r>
      <w:r>
        <w:rPr>
          <w:rFonts w:hint="eastAsia" w:ascii="仿宋_GB2312" w:hAnsi="宋体" w:eastAsia="仿宋_GB2312"/>
          <w:color w:val="auto"/>
          <w:sz w:val="28"/>
          <w:szCs w:val="28"/>
          <w:highlight w:val="none"/>
        </w:rPr>
        <w:t>进行担保、抵押等融资活动</w:t>
      </w:r>
      <w:r>
        <w:rPr>
          <w:rFonts w:hint="eastAsia" w:ascii="仿宋_GB2312" w:hAnsi="宋体" w:eastAsia="仿宋_GB2312"/>
          <w:color w:val="auto"/>
          <w:sz w:val="28"/>
          <w:szCs w:val="28"/>
          <w:highlight w:val="none"/>
          <w:lang w:eastAsia="zh-CN"/>
        </w:rPr>
        <w:t>，不得将出租标的进行转租</w:t>
      </w:r>
      <w:r>
        <w:rPr>
          <w:rFonts w:hint="eastAsia" w:ascii="仿宋_GB2312" w:hAnsi="宋体" w:eastAsia="仿宋_GB2312"/>
          <w:color w:val="auto"/>
          <w:sz w:val="28"/>
          <w:szCs w:val="28"/>
          <w:highlight w:val="none"/>
        </w:rPr>
        <w:t>。</w:t>
      </w:r>
    </w:p>
    <w:p>
      <w:pPr>
        <w:overflowPunct w:val="0"/>
        <w:autoSpaceDE w:val="0"/>
        <w:ind w:firstLine="520" w:firstLineChars="186"/>
        <w:jc w:val="left"/>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2.4 不涉权</w:t>
      </w:r>
      <w:bookmarkEnd w:id="33"/>
      <w:bookmarkEnd w:id="34"/>
      <w:bookmarkEnd w:id="35"/>
      <w:bookmarkEnd w:id="36"/>
      <w:bookmarkEnd w:id="37"/>
      <w:bookmarkEnd w:id="38"/>
      <w:bookmarkEnd w:id="39"/>
      <w:bookmarkEnd w:id="40"/>
    </w:p>
    <w:p>
      <w:pPr>
        <w:overflowPunct w:val="0"/>
        <w:autoSpaceDE w:val="0"/>
        <w:ind w:firstLine="520" w:firstLineChars="186"/>
        <w:jc w:val="left"/>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2.4.1 本合同不构成双方之间的合营、合资、联营、合伙关系。</w:t>
      </w:r>
    </w:p>
    <w:p>
      <w:pPr>
        <w:overflowPunct w:val="0"/>
        <w:autoSpaceDE w:val="0"/>
        <w:ind w:firstLine="520" w:firstLineChars="186"/>
        <w:jc w:val="left"/>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2.4.2 本合同不造成或不构成对经营范围内其他项目的租赁，或给予</w:t>
      </w:r>
      <w:r>
        <w:rPr>
          <w:rFonts w:hint="eastAsia" w:ascii="仿宋_GB2312" w:hAnsi="宋体" w:eastAsia="仿宋_GB2312"/>
          <w:color w:val="auto"/>
          <w:sz w:val="28"/>
          <w:szCs w:val="28"/>
          <w:highlight w:val="none"/>
          <w:lang w:eastAsia="zh-CN"/>
        </w:rPr>
        <w:t>乙方</w:t>
      </w:r>
      <w:r>
        <w:rPr>
          <w:rFonts w:hint="eastAsia" w:ascii="仿宋_GB2312" w:hAnsi="宋体" w:eastAsia="仿宋_GB2312"/>
          <w:color w:val="auto"/>
          <w:sz w:val="28"/>
          <w:szCs w:val="28"/>
          <w:highlight w:val="none"/>
        </w:rPr>
        <w:t>本合同约定的经营内容以外的对经营范围内任何其他项目享有利益、权利或独占。</w:t>
      </w:r>
    </w:p>
    <w:p>
      <w:pPr>
        <w:overflowPunct w:val="0"/>
        <w:autoSpaceDE w:val="0"/>
        <w:ind w:firstLine="520" w:firstLineChars="186"/>
        <w:jc w:val="left"/>
        <w:rPr>
          <w:rFonts w:hint="eastAsia" w:ascii="仿宋_GB2312" w:hAnsi="宋体" w:eastAsia="仿宋_GB2312"/>
          <w:color w:val="auto"/>
          <w:sz w:val="28"/>
          <w:szCs w:val="28"/>
          <w:highlight w:val="none"/>
        </w:rPr>
      </w:pPr>
      <w:bookmarkStart w:id="41" w:name="_Toc483398243"/>
      <w:bookmarkStart w:id="42" w:name="_Toc484419103"/>
      <w:bookmarkStart w:id="43" w:name="_Toc484188001"/>
      <w:bookmarkStart w:id="44" w:name="_Toc484419261"/>
      <w:bookmarkStart w:id="45" w:name="_Toc409530971"/>
      <w:bookmarkStart w:id="46" w:name="_Toc484608497"/>
      <w:bookmarkStart w:id="47" w:name="_Toc484520536"/>
      <w:bookmarkStart w:id="48" w:name="_Toc484418946"/>
      <w:r>
        <w:rPr>
          <w:rFonts w:hint="eastAsia" w:ascii="仿宋_GB2312" w:hAnsi="宋体" w:eastAsia="仿宋_GB2312"/>
          <w:color w:val="auto"/>
          <w:sz w:val="28"/>
          <w:szCs w:val="28"/>
          <w:highlight w:val="none"/>
        </w:rPr>
        <w:t>2.5 地铁运营优先</w:t>
      </w:r>
      <w:bookmarkEnd w:id="41"/>
      <w:bookmarkEnd w:id="42"/>
      <w:bookmarkEnd w:id="43"/>
      <w:bookmarkEnd w:id="44"/>
      <w:bookmarkEnd w:id="45"/>
      <w:bookmarkEnd w:id="46"/>
      <w:bookmarkEnd w:id="47"/>
      <w:bookmarkEnd w:id="48"/>
    </w:p>
    <w:p>
      <w:pPr>
        <w:overflowPunct w:val="0"/>
        <w:autoSpaceDE w:val="0"/>
        <w:ind w:firstLine="520" w:firstLineChars="186"/>
        <w:jc w:val="left"/>
        <w:rPr>
          <w:rFonts w:hint="eastAsia" w:ascii="仿宋_GB2312" w:hAnsi="宋体" w:eastAsia="仿宋_GB2312"/>
          <w:color w:val="auto"/>
          <w:sz w:val="28"/>
          <w:szCs w:val="28"/>
          <w:highlight w:val="none"/>
          <w:lang w:val="en-US" w:eastAsia="zh-CN"/>
        </w:rPr>
      </w:pPr>
      <w:r>
        <w:rPr>
          <w:rFonts w:hint="eastAsia" w:ascii="仿宋_GB2312" w:hAnsi="宋体" w:eastAsia="仿宋_GB2312"/>
          <w:color w:val="auto"/>
          <w:sz w:val="28"/>
          <w:szCs w:val="28"/>
          <w:highlight w:val="none"/>
        </w:rPr>
        <w:t>2.5</w:t>
      </w:r>
      <w:r>
        <w:rPr>
          <w:rFonts w:hint="eastAsia" w:ascii="仿宋_GB2312" w:hAnsi="宋体" w:eastAsia="仿宋_GB2312"/>
          <w:color w:val="auto"/>
          <w:sz w:val="28"/>
          <w:szCs w:val="28"/>
          <w:highlight w:val="none"/>
          <w:lang w:val="en-US" w:eastAsia="zh-CN"/>
        </w:rPr>
        <w:t xml:space="preserve">.1 </w:t>
      </w:r>
      <w:r>
        <w:rPr>
          <w:rFonts w:hint="eastAsia" w:ascii="仿宋_GB2312" w:hAnsi="宋体" w:eastAsia="仿宋_GB2312"/>
          <w:color w:val="auto"/>
          <w:sz w:val="28"/>
          <w:szCs w:val="28"/>
          <w:highlight w:val="none"/>
          <w:lang w:eastAsia="zh-CN"/>
        </w:rPr>
        <w:t>乙方</w:t>
      </w:r>
      <w:r>
        <w:rPr>
          <w:rFonts w:hint="eastAsia" w:ascii="仿宋_GB2312" w:hAnsi="宋体" w:eastAsia="仿宋_GB2312"/>
          <w:color w:val="auto"/>
          <w:sz w:val="28"/>
          <w:szCs w:val="28"/>
          <w:highlight w:val="none"/>
          <w:lang w:val="en-US" w:eastAsia="zh-CN"/>
        </w:rPr>
        <w:t>明确知晓</w:t>
      </w:r>
      <w:r>
        <w:rPr>
          <w:rFonts w:hint="eastAsia" w:ascii="仿宋_GB2312" w:hAnsi="宋体" w:eastAsia="仿宋_GB2312"/>
          <w:color w:val="auto"/>
          <w:sz w:val="28"/>
          <w:szCs w:val="28"/>
          <w:highlight w:val="none"/>
        </w:rPr>
        <w:t>并同意</w:t>
      </w:r>
      <w:r>
        <w:rPr>
          <w:rFonts w:hint="eastAsia" w:ascii="仿宋_GB2312" w:hAnsi="宋体" w:eastAsia="仿宋_GB2312"/>
          <w:color w:val="auto"/>
          <w:sz w:val="28"/>
          <w:szCs w:val="28"/>
          <w:highlight w:val="none"/>
          <w:lang w:val="en-US" w:eastAsia="zh-CN"/>
        </w:rPr>
        <w:t>在</w:t>
      </w:r>
      <w:r>
        <w:rPr>
          <w:rFonts w:hint="eastAsia" w:ascii="仿宋_GB2312" w:hAnsi="宋体" w:eastAsia="仿宋_GB2312"/>
          <w:color w:val="auto"/>
          <w:sz w:val="28"/>
          <w:szCs w:val="28"/>
          <w:highlight w:val="none"/>
        </w:rPr>
        <w:t>实施</w:t>
      </w:r>
      <w:r>
        <w:rPr>
          <w:rFonts w:hint="eastAsia" w:ascii="仿宋_GB2312" w:hAnsi="宋体" w:eastAsia="仿宋_GB2312"/>
          <w:color w:val="auto"/>
          <w:sz w:val="28"/>
          <w:szCs w:val="28"/>
          <w:highlight w:val="none"/>
          <w:lang w:val="en-US" w:eastAsia="zh-CN"/>
        </w:rPr>
        <w:t>租赁</w:t>
      </w:r>
      <w:r>
        <w:rPr>
          <w:rFonts w:hint="eastAsia" w:ascii="仿宋_GB2312" w:hAnsi="宋体" w:eastAsia="仿宋_GB2312"/>
          <w:color w:val="auto"/>
          <w:sz w:val="28"/>
          <w:szCs w:val="28"/>
          <w:highlight w:val="none"/>
        </w:rPr>
        <w:t>合同项下的任何条款时优先考虑</w:t>
      </w:r>
      <w:r>
        <w:rPr>
          <w:rFonts w:hint="eastAsia" w:ascii="仿宋_GB2312" w:hAnsi="宋体" w:eastAsia="仿宋_GB2312"/>
          <w:color w:val="auto"/>
          <w:sz w:val="28"/>
          <w:szCs w:val="28"/>
          <w:highlight w:val="none"/>
          <w:lang w:val="en-US" w:eastAsia="zh-CN"/>
        </w:rPr>
        <w:t>轨道交通运营</w:t>
      </w:r>
      <w:r>
        <w:rPr>
          <w:rFonts w:hint="eastAsia" w:ascii="仿宋_GB2312" w:hAnsi="宋体" w:eastAsia="仿宋_GB2312"/>
          <w:color w:val="auto"/>
          <w:sz w:val="28"/>
          <w:szCs w:val="28"/>
          <w:highlight w:val="none"/>
        </w:rPr>
        <w:t>的安全高效。</w:t>
      </w:r>
      <w:r>
        <w:rPr>
          <w:rFonts w:hint="eastAsia" w:ascii="仿宋_GB2312" w:hAnsi="宋体" w:eastAsia="仿宋_GB2312"/>
          <w:color w:val="auto"/>
          <w:sz w:val="28"/>
          <w:szCs w:val="28"/>
          <w:highlight w:val="none"/>
          <w:lang w:val="en-US" w:eastAsia="zh-CN"/>
        </w:rPr>
        <w:t>如政府政策变化或</w:t>
      </w:r>
      <w:r>
        <w:rPr>
          <w:rFonts w:hint="eastAsia" w:ascii="仿宋_GB2312" w:hAnsi="宋体" w:eastAsia="仿宋_GB2312"/>
          <w:color w:val="auto"/>
          <w:sz w:val="28"/>
          <w:szCs w:val="28"/>
          <w:highlight w:val="none"/>
        </w:rPr>
        <w:t>地铁建设</w:t>
      </w:r>
      <w:r>
        <w:rPr>
          <w:rFonts w:hint="eastAsia" w:ascii="仿宋_GB2312" w:hAnsi="宋体" w:eastAsia="仿宋_GB2312"/>
          <w:color w:val="auto"/>
          <w:sz w:val="28"/>
          <w:szCs w:val="28"/>
          <w:highlight w:val="none"/>
          <w:lang w:eastAsia="zh-CN"/>
        </w:rPr>
        <w:t>、</w:t>
      </w:r>
      <w:r>
        <w:rPr>
          <w:rFonts w:hint="eastAsia" w:ascii="仿宋_GB2312" w:hAnsi="宋体" w:eastAsia="仿宋_GB2312"/>
          <w:color w:val="auto"/>
          <w:sz w:val="28"/>
          <w:szCs w:val="28"/>
          <w:highlight w:val="none"/>
        </w:rPr>
        <w:t>运营需要</w:t>
      </w:r>
      <w:r>
        <w:rPr>
          <w:rFonts w:hint="eastAsia" w:ascii="仿宋_GB2312" w:hAnsi="宋体" w:eastAsia="仿宋_GB2312"/>
          <w:color w:val="auto"/>
          <w:sz w:val="28"/>
          <w:szCs w:val="28"/>
          <w:highlight w:val="none"/>
          <w:lang w:val="en-US" w:eastAsia="zh-CN"/>
        </w:rPr>
        <w:t>时，甲方拥有要求乙方</w:t>
      </w:r>
      <w:r>
        <w:rPr>
          <w:rFonts w:hint="eastAsia" w:ascii="仿宋_GB2312" w:hAnsi="宋体" w:eastAsia="仿宋_GB2312"/>
          <w:color w:val="auto"/>
          <w:sz w:val="28"/>
          <w:szCs w:val="28"/>
          <w:highlight w:val="none"/>
        </w:rPr>
        <w:t>永久或临时</w:t>
      </w:r>
      <w:r>
        <w:rPr>
          <w:rFonts w:hint="eastAsia" w:ascii="仿宋_GB2312" w:hAnsi="宋体" w:eastAsia="仿宋_GB2312"/>
          <w:color w:val="auto"/>
          <w:sz w:val="28"/>
          <w:szCs w:val="28"/>
          <w:highlight w:val="none"/>
          <w:lang w:val="en-US" w:eastAsia="zh-CN"/>
        </w:rPr>
        <w:t>中</w:t>
      </w:r>
      <w:r>
        <w:rPr>
          <w:rFonts w:hint="eastAsia" w:ascii="仿宋_GB2312" w:hAnsi="宋体" w:eastAsia="仿宋_GB2312"/>
          <w:color w:val="auto"/>
          <w:sz w:val="28"/>
          <w:szCs w:val="28"/>
          <w:highlight w:val="none"/>
        </w:rPr>
        <w:t>止</w:t>
      </w:r>
      <w:r>
        <w:rPr>
          <w:rFonts w:hint="eastAsia" w:ascii="仿宋_GB2312" w:hAnsi="宋体" w:eastAsia="仿宋_GB2312"/>
          <w:color w:val="auto"/>
          <w:sz w:val="28"/>
          <w:szCs w:val="28"/>
          <w:highlight w:val="none"/>
          <w:lang w:val="en-US" w:eastAsia="zh-CN"/>
        </w:rPr>
        <w:t>物业空间经营行为</w:t>
      </w:r>
      <w:r>
        <w:rPr>
          <w:rFonts w:hint="eastAsia" w:ascii="仿宋_GB2312" w:hAnsi="宋体" w:eastAsia="仿宋_GB2312"/>
          <w:color w:val="auto"/>
          <w:sz w:val="28"/>
          <w:szCs w:val="28"/>
          <w:highlight w:val="none"/>
        </w:rPr>
        <w:t>、调整</w:t>
      </w:r>
      <w:r>
        <w:rPr>
          <w:rFonts w:hint="eastAsia" w:ascii="仿宋_GB2312" w:hAnsi="宋体" w:eastAsia="仿宋_GB2312"/>
          <w:color w:val="auto"/>
          <w:sz w:val="28"/>
          <w:szCs w:val="28"/>
          <w:highlight w:val="none"/>
          <w:lang w:val="en-US" w:eastAsia="zh-CN"/>
        </w:rPr>
        <w:t>物业空间租赁范围的权利</w:t>
      </w:r>
      <w:r>
        <w:rPr>
          <w:rFonts w:hint="eastAsia" w:ascii="仿宋_GB2312" w:hAnsi="宋体" w:eastAsia="仿宋_GB2312"/>
          <w:color w:val="auto"/>
          <w:sz w:val="28"/>
          <w:szCs w:val="28"/>
          <w:highlight w:val="none"/>
        </w:rPr>
        <w:t>，</w:t>
      </w:r>
      <w:r>
        <w:rPr>
          <w:rFonts w:hint="eastAsia" w:ascii="仿宋_GB2312" w:hAnsi="宋体" w:eastAsia="仿宋_GB2312"/>
          <w:color w:val="auto"/>
          <w:sz w:val="28"/>
          <w:szCs w:val="28"/>
          <w:highlight w:val="none"/>
          <w:lang w:eastAsia="zh-CN"/>
        </w:rPr>
        <w:t>乙方</w:t>
      </w:r>
      <w:r>
        <w:rPr>
          <w:rFonts w:hint="eastAsia" w:ascii="仿宋_GB2312" w:hAnsi="宋体" w:eastAsia="仿宋_GB2312"/>
          <w:color w:val="auto"/>
          <w:sz w:val="28"/>
          <w:szCs w:val="28"/>
          <w:highlight w:val="none"/>
        </w:rPr>
        <w:t>应无条件服从</w:t>
      </w:r>
      <w:r>
        <w:rPr>
          <w:rFonts w:hint="eastAsia" w:ascii="仿宋_GB2312" w:hAnsi="宋体" w:eastAsia="仿宋_GB2312"/>
          <w:color w:val="auto"/>
          <w:sz w:val="28"/>
          <w:szCs w:val="28"/>
          <w:highlight w:val="none"/>
          <w:lang w:val="en-US" w:eastAsia="zh-CN"/>
        </w:rPr>
        <w:t>并给予积极配合</w:t>
      </w:r>
      <w:r>
        <w:rPr>
          <w:rFonts w:hint="eastAsia" w:ascii="仿宋_GB2312" w:hAnsi="宋体" w:eastAsia="仿宋_GB2312"/>
          <w:color w:val="auto"/>
          <w:sz w:val="28"/>
          <w:szCs w:val="28"/>
          <w:highlight w:val="none"/>
        </w:rPr>
        <w:t>。</w:t>
      </w:r>
    </w:p>
    <w:p>
      <w:pPr>
        <w:overflowPunct w:val="0"/>
        <w:autoSpaceDE w:val="0"/>
        <w:ind w:firstLine="520" w:firstLineChars="186"/>
        <w:jc w:val="left"/>
        <w:rPr>
          <w:rFonts w:hint="eastAsia" w:ascii="仿宋_GB2312" w:hAnsi="宋体" w:eastAsia="仿宋_GB2312"/>
          <w:color w:val="auto"/>
          <w:sz w:val="28"/>
          <w:szCs w:val="28"/>
          <w:highlight w:val="none"/>
          <w:lang w:eastAsia="zh-CN"/>
        </w:rPr>
      </w:pPr>
      <w:r>
        <w:rPr>
          <w:rFonts w:hint="eastAsia" w:ascii="仿宋_GB2312" w:hAnsi="宋体" w:eastAsia="仿宋_GB2312"/>
          <w:color w:val="auto"/>
          <w:sz w:val="28"/>
          <w:szCs w:val="28"/>
          <w:highlight w:val="none"/>
        </w:rPr>
        <w:t>2.5</w:t>
      </w:r>
      <w:r>
        <w:rPr>
          <w:rFonts w:hint="eastAsia" w:ascii="仿宋_GB2312" w:hAnsi="宋体" w:eastAsia="仿宋_GB2312"/>
          <w:color w:val="auto"/>
          <w:sz w:val="28"/>
          <w:szCs w:val="28"/>
          <w:highlight w:val="none"/>
          <w:lang w:val="en-US" w:eastAsia="zh-CN"/>
        </w:rPr>
        <w:t>.</w:t>
      </w:r>
      <w:r>
        <w:rPr>
          <w:rFonts w:hint="eastAsia" w:ascii="仿宋_GB2312" w:hAnsi="宋体" w:eastAsia="仿宋_GB2312"/>
          <w:color w:val="auto"/>
          <w:sz w:val="28"/>
          <w:szCs w:val="28"/>
          <w:highlight w:val="none"/>
          <w:lang w:eastAsia="zh-CN"/>
        </w:rPr>
        <w:t>2</w:t>
      </w:r>
      <w:r>
        <w:rPr>
          <w:rFonts w:hint="eastAsia" w:ascii="仿宋_GB2312" w:hAnsi="宋体" w:eastAsia="仿宋_GB2312"/>
          <w:color w:val="auto"/>
          <w:sz w:val="28"/>
          <w:szCs w:val="28"/>
          <w:highlight w:val="none"/>
          <w:lang w:val="en-US" w:eastAsia="zh-CN"/>
        </w:rPr>
        <w:t xml:space="preserve"> </w:t>
      </w:r>
      <w:r>
        <w:rPr>
          <w:rFonts w:hint="eastAsia" w:ascii="仿宋_GB2312" w:hAnsi="宋体" w:eastAsia="仿宋_GB2312"/>
          <w:color w:val="auto"/>
          <w:sz w:val="28"/>
          <w:szCs w:val="28"/>
          <w:highlight w:val="none"/>
          <w:lang w:eastAsia="zh-CN"/>
        </w:rPr>
        <w:t>乙方</w:t>
      </w:r>
      <w:r>
        <w:rPr>
          <w:rFonts w:hint="eastAsia" w:ascii="仿宋_GB2312" w:hAnsi="宋体" w:eastAsia="仿宋_GB2312"/>
          <w:color w:val="auto"/>
          <w:sz w:val="28"/>
          <w:szCs w:val="28"/>
          <w:highlight w:val="none"/>
          <w:lang w:val="en-US" w:eastAsia="zh-CN"/>
        </w:rPr>
        <w:t>明确知晓</w:t>
      </w:r>
      <w:r>
        <w:rPr>
          <w:rFonts w:hint="eastAsia" w:ascii="仿宋_GB2312" w:hAnsi="宋体" w:eastAsia="仿宋_GB2312"/>
          <w:color w:val="auto"/>
          <w:sz w:val="28"/>
          <w:szCs w:val="28"/>
          <w:highlight w:val="none"/>
        </w:rPr>
        <w:t>并同意</w:t>
      </w:r>
      <w:r>
        <w:rPr>
          <w:rFonts w:hint="eastAsia" w:ascii="仿宋_GB2312" w:hAnsi="宋体" w:eastAsia="仿宋_GB2312"/>
          <w:color w:val="auto"/>
          <w:sz w:val="28"/>
          <w:szCs w:val="28"/>
          <w:highlight w:val="none"/>
          <w:lang w:val="en-US" w:eastAsia="zh-CN"/>
        </w:rPr>
        <w:t>物业空间</w:t>
      </w:r>
      <w:r>
        <w:rPr>
          <w:rFonts w:hint="eastAsia" w:ascii="仿宋_GB2312" w:hAnsi="宋体" w:eastAsia="仿宋_GB2312"/>
          <w:color w:val="auto"/>
          <w:sz w:val="28"/>
          <w:szCs w:val="28"/>
          <w:highlight w:val="none"/>
        </w:rPr>
        <w:t>的经营须配合</w:t>
      </w:r>
      <w:r>
        <w:rPr>
          <w:rFonts w:hint="eastAsia" w:ascii="仿宋_GB2312" w:hAnsi="宋体" w:eastAsia="仿宋_GB2312"/>
          <w:color w:val="auto"/>
          <w:sz w:val="28"/>
          <w:szCs w:val="28"/>
          <w:highlight w:val="none"/>
          <w:lang w:val="en-US" w:eastAsia="zh-CN"/>
        </w:rPr>
        <w:t>轨道交通运营</w:t>
      </w:r>
      <w:r>
        <w:rPr>
          <w:rFonts w:hint="eastAsia" w:ascii="仿宋_GB2312" w:hAnsi="宋体" w:eastAsia="仿宋_GB2312"/>
          <w:color w:val="auto"/>
          <w:sz w:val="28"/>
          <w:szCs w:val="28"/>
          <w:highlight w:val="none"/>
        </w:rPr>
        <w:t>客运服务，</w:t>
      </w:r>
      <w:r>
        <w:rPr>
          <w:rFonts w:hint="eastAsia" w:ascii="仿宋_GB2312" w:hAnsi="宋体" w:eastAsia="仿宋_GB2312"/>
          <w:color w:val="auto"/>
          <w:sz w:val="28"/>
          <w:szCs w:val="28"/>
          <w:highlight w:val="none"/>
          <w:lang w:val="en-US" w:eastAsia="zh-CN"/>
        </w:rPr>
        <w:t>应</w:t>
      </w:r>
      <w:r>
        <w:rPr>
          <w:rFonts w:hint="eastAsia" w:ascii="仿宋_GB2312" w:hAnsi="宋体" w:eastAsia="仿宋_GB2312"/>
          <w:color w:val="auto"/>
          <w:sz w:val="28"/>
          <w:szCs w:val="28"/>
          <w:highlight w:val="none"/>
        </w:rPr>
        <w:t>避免与经营线路内的系统</w:t>
      </w:r>
      <w:r>
        <w:rPr>
          <w:rFonts w:hint="eastAsia" w:ascii="仿宋_GB2312" w:hAnsi="宋体" w:eastAsia="仿宋_GB2312"/>
          <w:color w:val="auto"/>
          <w:sz w:val="28"/>
          <w:szCs w:val="28"/>
          <w:highlight w:val="none"/>
          <w:lang w:val="en-US" w:eastAsia="zh-CN"/>
        </w:rPr>
        <w:t>产生</w:t>
      </w:r>
      <w:r>
        <w:rPr>
          <w:rFonts w:hint="eastAsia" w:ascii="仿宋_GB2312" w:hAnsi="宋体" w:eastAsia="仿宋_GB2312"/>
          <w:color w:val="auto"/>
          <w:sz w:val="28"/>
          <w:szCs w:val="28"/>
          <w:highlight w:val="none"/>
        </w:rPr>
        <w:t>冲突、干扰</w:t>
      </w:r>
      <w:r>
        <w:rPr>
          <w:rFonts w:hint="eastAsia" w:ascii="仿宋_GB2312" w:hAnsi="宋体" w:eastAsia="仿宋_GB2312"/>
          <w:color w:val="auto"/>
          <w:sz w:val="28"/>
          <w:szCs w:val="28"/>
          <w:highlight w:val="none"/>
          <w:lang w:val="en-US" w:eastAsia="zh-CN"/>
        </w:rPr>
        <w:t>或</w:t>
      </w:r>
      <w:r>
        <w:rPr>
          <w:rFonts w:hint="eastAsia" w:ascii="仿宋_GB2312" w:hAnsi="宋体" w:eastAsia="仿宋_GB2312"/>
          <w:color w:val="auto"/>
          <w:sz w:val="28"/>
          <w:szCs w:val="28"/>
          <w:highlight w:val="none"/>
        </w:rPr>
        <w:t>对乘客造成滋扰</w:t>
      </w:r>
      <w:r>
        <w:rPr>
          <w:rFonts w:hint="eastAsia" w:ascii="仿宋_GB2312" w:hAnsi="宋体" w:eastAsia="仿宋_GB2312"/>
          <w:color w:val="auto"/>
          <w:sz w:val="28"/>
          <w:szCs w:val="28"/>
          <w:highlight w:val="none"/>
          <w:lang w:val="en-US" w:eastAsia="zh-CN"/>
        </w:rPr>
        <w:t>等</w:t>
      </w:r>
      <w:r>
        <w:rPr>
          <w:rFonts w:hint="eastAsia" w:ascii="仿宋_GB2312" w:hAnsi="宋体" w:eastAsia="仿宋_GB2312"/>
          <w:color w:val="auto"/>
          <w:sz w:val="28"/>
          <w:szCs w:val="28"/>
          <w:highlight w:val="none"/>
        </w:rPr>
        <w:t>消极影响</w:t>
      </w:r>
      <w:r>
        <w:rPr>
          <w:rFonts w:hint="eastAsia" w:ascii="仿宋_GB2312" w:hAnsi="宋体" w:eastAsia="仿宋_GB2312"/>
          <w:color w:val="auto"/>
          <w:sz w:val="28"/>
          <w:szCs w:val="28"/>
          <w:highlight w:val="none"/>
          <w:lang w:eastAsia="zh-CN"/>
        </w:rPr>
        <w:t>，</w:t>
      </w:r>
      <w:r>
        <w:rPr>
          <w:rFonts w:hint="eastAsia" w:ascii="仿宋_GB2312" w:hAnsi="宋体" w:eastAsia="仿宋_GB2312"/>
          <w:color w:val="auto"/>
          <w:sz w:val="28"/>
          <w:szCs w:val="28"/>
          <w:highlight w:val="none"/>
          <w:lang w:val="en-US" w:eastAsia="zh-CN"/>
        </w:rPr>
        <w:t>并按</w:t>
      </w:r>
      <w:r>
        <w:rPr>
          <w:rFonts w:hint="eastAsia" w:ascii="仿宋_GB2312" w:hAnsi="宋体" w:eastAsia="仿宋_GB2312"/>
          <w:color w:val="auto"/>
          <w:sz w:val="28"/>
          <w:szCs w:val="28"/>
          <w:highlight w:val="none"/>
          <w:lang w:eastAsia="zh-CN"/>
        </w:rPr>
        <w:t>甲方</w:t>
      </w:r>
      <w:r>
        <w:rPr>
          <w:rFonts w:hint="eastAsia" w:ascii="仿宋_GB2312" w:hAnsi="宋体" w:eastAsia="仿宋_GB2312"/>
          <w:color w:val="auto"/>
          <w:sz w:val="28"/>
          <w:szCs w:val="28"/>
          <w:highlight w:val="none"/>
        </w:rPr>
        <w:t>提出的合理要求</w:t>
      </w:r>
      <w:r>
        <w:rPr>
          <w:rFonts w:hint="eastAsia" w:ascii="仿宋_GB2312" w:hAnsi="宋体" w:eastAsia="仿宋_GB2312"/>
          <w:color w:val="auto"/>
          <w:sz w:val="28"/>
          <w:szCs w:val="28"/>
          <w:highlight w:val="none"/>
          <w:lang w:val="en-US" w:eastAsia="zh-CN"/>
        </w:rPr>
        <w:t>进行及时、积极、高效</w:t>
      </w:r>
      <w:r>
        <w:rPr>
          <w:rFonts w:hint="eastAsia" w:ascii="仿宋_GB2312" w:hAnsi="宋体" w:eastAsia="仿宋_GB2312"/>
          <w:color w:val="auto"/>
          <w:sz w:val="28"/>
          <w:szCs w:val="28"/>
          <w:highlight w:val="none"/>
        </w:rPr>
        <w:t>解决。</w:t>
      </w:r>
    </w:p>
    <w:p>
      <w:pPr>
        <w:overflowPunct w:val="0"/>
        <w:autoSpaceDE w:val="0"/>
        <w:ind w:firstLine="520" w:firstLineChars="186"/>
        <w:jc w:val="left"/>
        <w:rPr>
          <w:rFonts w:hint="eastAsia" w:ascii="仿宋_GB2312" w:hAnsi="宋体" w:eastAsia="仿宋_GB2312"/>
          <w:color w:val="auto"/>
          <w:sz w:val="28"/>
          <w:szCs w:val="28"/>
          <w:highlight w:val="none"/>
          <w:lang w:val="en-US" w:eastAsia="zh-CN"/>
        </w:rPr>
      </w:pPr>
      <w:r>
        <w:rPr>
          <w:rFonts w:hint="eastAsia" w:ascii="仿宋_GB2312" w:hAnsi="宋体" w:eastAsia="仿宋_GB2312"/>
          <w:color w:val="auto"/>
          <w:sz w:val="28"/>
          <w:szCs w:val="28"/>
          <w:highlight w:val="none"/>
        </w:rPr>
        <w:t>2.5</w:t>
      </w:r>
      <w:r>
        <w:rPr>
          <w:rFonts w:hint="eastAsia" w:ascii="仿宋_GB2312" w:hAnsi="宋体" w:eastAsia="仿宋_GB2312"/>
          <w:color w:val="auto"/>
          <w:sz w:val="28"/>
          <w:szCs w:val="28"/>
          <w:highlight w:val="none"/>
          <w:lang w:val="en-US" w:eastAsia="zh-CN"/>
        </w:rPr>
        <w:t>.</w:t>
      </w:r>
      <w:r>
        <w:rPr>
          <w:rFonts w:hint="eastAsia" w:ascii="仿宋_GB2312" w:hAnsi="宋体" w:eastAsia="仿宋_GB2312"/>
          <w:color w:val="auto"/>
          <w:sz w:val="28"/>
          <w:szCs w:val="28"/>
          <w:highlight w:val="none"/>
          <w:lang w:eastAsia="zh-CN"/>
        </w:rPr>
        <w:t>3</w:t>
      </w:r>
      <w:r>
        <w:rPr>
          <w:rFonts w:hint="eastAsia" w:ascii="仿宋_GB2312" w:hAnsi="宋体" w:eastAsia="仿宋_GB2312"/>
          <w:color w:val="auto"/>
          <w:sz w:val="28"/>
          <w:szCs w:val="28"/>
          <w:highlight w:val="none"/>
          <w:lang w:val="en-US" w:eastAsia="zh-CN"/>
        </w:rPr>
        <w:t xml:space="preserve"> </w:t>
      </w:r>
      <w:r>
        <w:rPr>
          <w:rFonts w:hint="eastAsia" w:ascii="仿宋_GB2312" w:hAnsi="宋体" w:eastAsia="仿宋_GB2312"/>
          <w:color w:val="auto"/>
          <w:sz w:val="28"/>
          <w:szCs w:val="28"/>
          <w:highlight w:val="none"/>
          <w:lang w:eastAsia="zh-CN"/>
        </w:rPr>
        <w:t>乙方</w:t>
      </w:r>
      <w:r>
        <w:rPr>
          <w:rFonts w:hint="eastAsia" w:ascii="仿宋_GB2312" w:hAnsi="宋体" w:eastAsia="仿宋_GB2312"/>
          <w:color w:val="auto"/>
          <w:sz w:val="28"/>
          <w:szCs w:val="28"/>
          <w:highlight w:val="none"/>
          <w:lang w:val="en-US" w:eastAsia="zh-CN"/>
        </w:rPr>
        <w:t>明确知晓</w:t>
      </w:r>
      <w:r>
        <w:rPr>
          <w:rFonts w:hint="eastAsia" w:ascii="仿宋_GB2312" w:hAnsi="宋体" w:eastAsia="仿宋_GB2312"/>
          <w:color w:val="auto"/>
          <w:sz w:val="28"/>
          <w:szCs w:val="28"/>
          <w:highlight w:val="none"/>
        </w:rPr>
        <w:t>并同意鉴于地铁的特殊性和公益性，</w:t>
      </w:r>
      <w:r>
        <w:rPr>
          <w:rFonts w:hint="eastAsia" w:ascii="仿宋_GB2312" w:hAnsi="宋体" w:eastAsia="仿宋_GB2312"/>
          <w:color w:val="auto"/>
          <w:sz w:val="28"/>
          <w:szCs w:val="28"/>
          <w:highlight w:val="none"/>
          <w:lang w:eastAsia="zh-CN"/>
        </w:rPr>
        <w:t>甲方</w:t>
      </w:r>
      <w:r>
        <w:rPr>
          <w:rFonts w:hint="eastAsia" w:ascii="仿宋_GB2312" w:hAnsi="宋体" w:eastAsia="仿宋_GB2312"/>
          <w:color w:val="auto"/>
          <w:sz w:val="28"/>
          <w:szCs w:val="28"/>
          <w:highlight w:val="none"/>
        </w:rPr>
        <w:t>有权根据实际情况</w:t>
      </w:r>
      <w:r>
        <w:rPr>
          <w:rFonts w:hint="eastAsia" w:ascii="仿宋_GB2312" w:hAnsi="宋体" w:eastAsia="仿宋_GB2312"/>
          <w:color w:val="auto"/>
          <w:sz w:val="28"/>
          <w:szCs w:val="28"/>
          <w:highlight w:val="none"/>
          <w:lang w:val="en-US" w:eastAsia="zh-CN"/>
        </w:rPr>
        <w:t>对</w:t>
      </w:r>
      <w:r>
        <w:rPr>
          <w:rFonts w:hint="eastAsia" w:ascii="仿宋_GB2312" w:hAnsi="宋体" w:eastAsia="仿宋_GB2312"/>
          <w:color w:val="auto"/>
          <w:sz w:val="28"/>
          <w:szCs w:val="28"/>
          <w:highlight w:val="none"/>
        </w:rPr>
        <w:t>经营线路</w:t>
      </w:r>
      <w:r>
        <w:rPr>
          <w:rFonts w:hint="eastAsia" w:ascii="仿宋_GB2312" w:hAnsi="宋体" w:eastAsia="仿宋_GB2312"/>
          <w:color w:val="auto"/>
          <w:sz w:val="28"/>
          <w:szCs w:val="28"/>
          <w:highlight w:val="none"/>
          <w:lang w:val="en-US" w:eastAsia="zh-CN"/>
        </w:rPr>
        <w:t>开展必要的</w:t>
      </w:r>
      <w:r>
        <w:rPr>
          <w:rFonts w:hint="eastAsia" w:ascii="仿宋_GB2312" w:hAnsi="宋体" w:eastAsia="仿宋_GB2312"/>
          <w:color w:val="auto"/>
          <w:sz w:val="28"/>
          <w:szCs w:val="28"/>
          <w:highlight w:val="none"/>
        </w:rPr>
        <w:t>检查、维护</w:t>
      </w:r>
      <w:r>
        <w:rPr>
          <w:rFonts w:hint="eastAsia" w:ascii="仿宋_GB2312" w:hAnsi="宋体" w:eastAsia="仿宋_GB2312"/>
          <w:color w:val="auto"/>
          <w:sz w:val="28"/>
          <w:szCs w:val="28"/>
          <w:highlight w:val="none"/>
          <w:lang w:eastAsia="zh-CN"/>
        </w:rPr>
        <w:t>、</w:t>
      </w:r>
      <w:r>
        <w:rPr>
          <w:rFonts w:hint="eastAsia" w:ascii="仿宋_GB2312" w:hAnsi="宋体" w:eastAsia="仿宋_GB2312"/>
          <w:color w:val="auto"/>
          <w:sz w:val="28"/>
          <w:szCs w:val="28"/>
          <w:highlight w:val="none"/>
        </w:rPr>
        <w:t>修复</w:t>
      </w:r>
      <w:r>
        <w:rPr>
          <w:rFonts w:hint="eastAsia" w:ascii="仿宋_GB2312" w:hAnsi="宋体" w:eastAsia="仿宋_GB2312"/>
          <w:color w:val="auto"/>
          <w:sz w:val="28"/>
          <w:szCs w:val="28"/>
          <w:highlight w:val="none"/>
          <w:lang w:eastAsia="zh-CN"/>
        </w:rPr>
        <w:t>、</w:t>
      </w:r>
      <w:r>
        <w:rPr>
          <w:rFonts w:hint="eastAsia" w:ascii="仿宋_GB2312" w:hAnsi="宋体" w:eastAsia="仿宋_GB2312"/>
          <w:color w:val="auto"/>
          <w:sz w:val="28"/>
          <w:szCs w:val="28"/>
          <w:highlight w:val="none"/>
          <w:lang w:val="en-US" w:eastAsia="zh-CN"/>
        </w:rPr>
        <w:t>建设</w:t>
      </w:r>
      <w:r>
        <w:rPr>
          <w:rFonts w:hint="eastAsia" w:ascii="仿宋_GB2312" w:hAnsi="宋体" w:eastAsia="仿宋_GB2312"/>
          <w:color w:val="auto"/>
          <w:sz w:val="28"/>
          <w:szCs w:val="28"/>
          <w:highlight w:val="none"/>
          <w:lang w:eastAsia="zh-CN"/>
        </w:rPr>
        <w:t>、</w:t>
      </w:r>
      <w:r>
        <w:rPr>
          <w:rFonts w:hint="eastAsia" w:ascii="仿宋_GB2312" w:hAnsi="宋体" w:eastAsia="仿宋_GB2312"/>
          <w:color w:val="auto"/>
          <w:sz w:val="28"/>
          <w:szCs w:val="28"/>
          <w:highlight w:val="none"/>
        </w:rPr>
        <w:t>应急疏散、演习</w:t>
      </w:r>
      <w:r>
        <w:rPr>
          <w:rFonts w:hint="eastAsia" w:ascii="仿宋_GB2312" w:hAnsi="宋体" w:eastAsia="仿宋_GB2312"/>
          <w:color w:val="auto"/>
          <w:sz w:val="28"/>
          <w:szCs w:val="28"/>
          <w:highlight w:val="none"/>
          <w:lang w:eastAsia="zh-CN"/>
        </w:rPr>
        <w:t>、</w:t>
      </w:r>
      <w:r>
        <w:rPr>
          <w:rFonts w:hint="eastAsia" w:ascii="仿宋_GB2312" w:hAnsi="宋体" w:eastAsia="仿宋_GB2312"/>
          <w:color w:val="auto"/>
          <w:sz w:val="28"/>
          <w:szCs w:val="28"/>
          <w:highlight w:val="none"/>
          <w:lang w:val="en-US" w:eastAsia="zh-CN"/>
        </w:rPr>
        <w:t>甚至</w:t>
      </w:r>
      <w:r>
        <w:rPr>
          <w:rFonts w:hint="eastAsia" w:ascii="仿宋_GB2312" w:hAnsi="宋体" w:eastAsia="仿宋_GB2312"/>
          <w:color w:val="auto"/>
          <w:sz w:val="28"/>
          <w:szCs w:val="28"/>
          <w:highlight w:val="none"/>
        </w:rPr>
        <w:t>中断经营线路</w:t>
      </w:r>
      <w:r>
        <w:rPr>
          <w:rFonts w:hint="eastAsia" w:ascii="仿宋_GB2312" w:hAnsi="宋体" w:eastAsia="仿宋_GB2312"/>
          <w:color w:val="auto"/>
          <w:sz w:val="28"/>
          <w:szCs w:val="28"/>
          <w:highlight w:val="none"/>
          <w:lang w:val="en-US" w:eastAsia="zh-CN"/>
        </w:rPr>
        <w:t>或车站</w:t>
      </w:r>
      <w:r>
        <w:rPr>
          <w:rFonts w:hint="eastAsia" w:ascii="仿宋_GB2312" w:hAnsi="宋体" w:eastAsia="仿宋_GB2312"/>
          <w:color w:val="auto"/>
          <w:sz w:val="28"/>
          <w:szCs w:val="28"/>
          <w:highlight w:val="none"/>
        </w:rPr>
        <w:t>运营</w:t>
      </w:r>
      <w:r>
        <w:rPr>
          <w:rFonts w:hint="eastAsia" w:ascii="仿宋_GB2312" w:hAnsi="宋体" w:eastAsia="仿宋_GB2312"/>
          <w:color w:val="auto"/>
          <w:sz w:val="28"/>
          <w:szCs w:val="28"/>
          <w:highlight w:val="none"/>
          <w:lang w:val="en-US" w:eastAsia="zh-CN"/>
        </w:rPr>
        <w:t>，因此给乙方的经营带来影响时，乙方不得据此向甲方提出租金调整、延长租期或其他赔偿诉求。</w:t>
      </w:r>
    </w:p>
    <w:p>
      <w:pPr>
        <w:overflowPunct w:val="0"/>
        <w:autoSpaceDE w:val="0"/>
        <w:ind w:firstLine="520" w:firstLineChars="186"/>
        <w:jc w:val="left"/>
        <w:rPr>
          <w:rFonts w:hint="eastAsia" w:ascii="仿宋_GB2312" w:hAnsi="宋体" w:eastAsia="仿宋_GB2312"/>
          <w:color w:val="auto"/>
          <w:sz w:val="28"/>
          <w:szCs w:val="28"/>
          <w:highlight w:val="none"/>
          <w:lang w:val="en-US" w:eastAsia="zh-CN"/>
        </w:rPr>
      </w:pPr>
      <w:r>
        <w:rPr>
          <w:rFonts w:hint="eastAsia" w:ascii="仿宋_GB2312" w:hAnsi="宋体" w:eastAsia="仿宋_GB2312"/>
          <w:color w:val="auto"/>
          <w:sz w:val="28"/>
          <w:szCs w:val="28"/>
          <w:highlight w:val="none"/>
          <w:lang w:eastAsia="zh-CN"/>
        </w:rPr>
        <w:t>2.5</w:t>
      </w:r>
      <w:r>
        <w:rPr>
          <w:rFonts w:hint="eastAsia" w:ascii="仿宋_GB2312" w:hAnsi="宋体" w:eastAsia="仿宋_GB2312"/>
          <w:color w:val="auto"/>
          <w:sz w:val="28"/>
          <w:szCs w:val="28"/>
          <w:highlight w:val="none"/>
          <w:lang w:val="en-US" w:eastAsia="zh-CN"/>
        </w:rPr>
        <w:t>.4 乙方在物业空间运营后应及时与地铁运营单位签署联合运营安全管理协议，明确乙方与地铁运营单位相关职责。</w:t>
      </w:r>
    </w:p>
    <w:p>
      <w:pPr>
        <w:overflowPunct/>
        <w:autoSpaceDE/>
        <w:ind w:firstLine="562" w:firstLineChars="200"/>
        <w:jc w:val="left"/>
        <w:outlineLvl w:val="9"/>
        <w:rPr>
          <w:rFonts w:ascii="黑体" w:hAnsi="黑体" w:eastAsia="黑体" w:cs="黑体"/>
          <w:b/>
          <w:color w:val="auto"/>
          <w:sz w:val="28"/>
          <w:szCs w:val="28"/>
          <w:highlight w:val="none"/>
        </w:rPr>
      </w:pPr>
      <w:r>
        <w:rPr>
          <w:rFonts w:hint="eastAsia" w:ascii="黑体" w:hAnsi="黑体" w:eastAsia="黑体" w:cs="黑体"/>
          <w:b/>
          <w:color w:val="auto"/>
          <w:sz w:val="28"/>
          <w:szCs w:val="28"/>
          <w:highlight w:val="none"/>
        </w:rPr>
        <w:t>第三条</w:t>
      </w:r>
      <w:r>
        <w:rPr>
          <w:rFonts w:ascii="黑体" w:hAnsi="黑体" w:eastAsia="黑体" w:cs="黑体"/>
          <w:b/>
          <w:color w:val="auto"/>
          <w:sz w:val="28"/>
          <w:szCs w:val="28"/>
          <w:highlight w:val="none"/>
        </w:rPr>
        <w:t xml:space="preserve"> </w:t>
      </w:r>
      <w:r>
        <w:rPr>
          <w:rFonts w:hint="eastAsia" w:ascii="黑体" w:hAnsi="黑体" w:eastAsia="黑体" w:cs="黑体"/>
          <w:b/>
          <w:color w:val="auto"/>
          <w:sz w:val="28"/>
          <w:szCs w:val="28"/>
          <w:highlight w:val="none"/>
        </w:rPr>
        <w:t>出租标的概况</w:t>
      </w:r>
    </w:p>
    <w:p>
      <w:pPr>
        <w:overflowPunct w:val="0"/>
        <w:autoSpaceDE w:val="0"/>
        <w:ind w:firstLine="520" w:firstLineChars="186"/>
        <w:jc w:val="left"/>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3.1 出租标的范围、清单</w:t>
      </w:r>
    </w:p>
    <w:p>
      <w:pPr>
        <w:overflowPunct w:val="0"/>
        <w:autoSpaceDE w:val="0"/>
        <w:ind w:firstLine="520" w:firstLineChars="186"/>
        <w:jc w:val="left"/>
        <w:rPr>
          <w:rFonts w:hint="eastAsia" w:ascii="仿宋_GB2312" w:hAnsi="宋体" w:eastAsia="仿宋_GB2312"/>
          <w:color w:val="auto"/>
          <w:sz w:val="28"/>
          <w:szCs w:val="28"/>
          <w:highlight w:val="none"/>
          <w:lang w:val="en-US" w:eastAsia="zh-CN"/>
        </w:rPr>
      </w:pPr>
      <w:r>
        <w:rPr>
          <w:rFonts w:hint="default" w:ascii="仿宋_GB2312" w:hAnsi="宋体" w:eastAsia="仿宋_GB2312"/>
          <w:color w:val="auto"/>
          <w:sz w:val="28"/>
          <w:szCs w:val="28"/>
          <w:highlight w:val="none"/>
          <w:lang w:val="en-US" w:eastAsia="zh-CN"/>
        </w:rPr>
        <w:t>贵阳轨道交通</w:t>
      </w:r>
      <w:r>
        <w:rPr>
          <w:rFonts w:hint="eastAsia" w:ascii="仿宋_GB2312" w:hAnsi="宋体" w:eastAsia="仿宋_GB2312"/>
          <w:color w:val="auto"/>
          <w:sz w:val="28"/>
          <w:szCs w:val="28"/>
          <w:highlight w:val="none"/>
          <w:lang w:val="en-US" w:eastAsia="zh-CN"/>
        </w:rPr>
        <w:t>1号线贵阳火车站</w:t>
      </w:r>
      <w:r>
        <w:rPr>
          <w:rFonts w:hint="default" w:ascii="仿宋_GB2312" w:hAnsi="宋体" w:eastAsia="仿宋_GB2312"/>
          <w:color w:val="auto"/>
          <w:sz w:val="28"/>
          <w:szCs w:val="28"/>
          <w:highlight w:val="none"/>
          <w:lang w:val="en-US" w:eastAsia="zh-CN"/>
        </w:rPr>
        <w:t>物业空间，总建筑面积</w:t>
      </w:r>
      <w:r>
        <w:rPr>
          <w:rFonts w:hint="eastAsia" w:ascii="仿宋_GB2312" w:hAnsi="宋体" w:eastAsia="仿宋_GB2312"/>
          <w:color w:val="auto"/>
          <w:sz w:val="28"/>
          <w:szCs w:val="28"/>
          <w:highlight w:val="none"/>
          <w:lang w:val="en-US" w:eastAsia="zh-CN"/>
        </w:rPr>
        <w:t>3327.83平方米，</w:t>
      </w:r>
      <w:r>
        <w:rPr>
          <w:rFonts w:hint="default" w:ascii="仿宋_GB2312" w:hAnsi="宋体" w:eastAsia="仿宋_GB2312"/>
          <w:color w:val="auto"/>
          <w:sz w:val="28"/>
          <w:szCs w:val="28"/>
          <w:highlight w:val="none"/>
          <w:lang w:val="en-US" w:eastAsia="zh-CN"/>
        </w:rPr>
        <w:t>包含计租面积</w:t>
      </w:r>
      <w:r>
        <w:rPr>
          <w:rFonts w:hint="eastAsia" w:ascii="仿宋_GB2312" w:hAnsi="宋体" w:eastAsia="仿宋_GB2312"/>
          <w:color w:val="auto"/>
          <w:sz w:val="28"/>
          <w:szCs w:val="28"/>
          <w:highlight w:val="none"/>
          <w:lang w:val="en-US" w:eastAsia="zh-CN"/>
        </w:rPr>
        <w:t>2554.97</w:t>
      </w:r>
      <w:r>
        <w:rPr>
          <w:rFonts w:hint="default" w:ascii="仿宋_GB2312" w:hAnsi="宋体" w:eastAsia="仿宋_GB2312"/>
          <w:color w:val="auto"/>
          <w:sz w:val="28"/>
          <w:szCs w:val="28"/>
          <w:highlight w:val="none"/>
          <w:lang w:val="en-US" w:eastAsia="zh-CN"/>
        </w:rPr>
        <w:t>平方米和出入口通道</w:t>
      </w:r>
      <w:r>
        <w:rPr>
          <w:rFonts w:hint="eastAsia" w:ascii="仿宋_GB2312" w:hAnsi="仿宋_GB2312" w:eastAsia="仿宋_GB2312" w:cs="仿宋_GB2312"/>
          <w:b w:val="0"/>
          <w:bCs/>
          <w:sz w:val="28"/>
          <w:szCs w:val="28"/>
          <w:lang w:val="en-US" w:eastAsia="zh-CN"/>
        </w:rPr>
        <w:t>（含用于消防疏散的下沉式广场）</w:t>
      </w:r>
      <w:r>
        <w:rPr>
          <w:rFonts w:hint="default" w:ascii="仿宋_GB2312" w:hAnsi="宋体" w:eastAsia="仿宋_GB2312"/>
          <w:color w:val="auto"/>
          <w:sz w:val="28"/>
          <w:szCs w:val="28"/>
          <w:highlight w:val="none"/>
          <w:lang w:val="en-US" w:eastAsia="zh-CN"/>
        </w:rPr>
        <w:t>面积</w:t>
      </w:r>
      <w:r>
        <w:rPr>
          <w:rFonts w:hint="eastAsia" w:ascii="仿宋_GB2312" w:hAnsi="宋体" w:eastAsia="仿宋_GB2312"/>
          <w:color w:val="auto"/>
          <w:sz w:val="28"/>
          <w:szCs w:val="28"/>
          <w:highlight w:val="none"/>
          <w:lang w:val="en-US" w:eastAsia="zh-CN"/>
        </w:rPr>
        <w:t>772.86</w:t>
      </w:r>
      <w:r>
        <w:rPr>
          <w:rFonts w:hint="default" w:ascii="仿宋_GB2312" w:hAnsi="宋体" w:eastAsia="仿宋_GB2312"/>
          <w:color w:val="auto"/>
          <w:sz w:val="28"/>
          <w:szCs w:val="28"/>
          <w:highlight w:val="none"/>
          <w:lang w:val="en-US" w:eastAsia="zh-CN"/>
        </w:rPr>
        <w:t>平方米两部分。</w:t>
      </w:r>
      <w:r>
        <w:rPr>
          <w:rFonts w:hint="eastAsia" w:ascii="仿宋_GB2312" w:hAnsi="宋体" w:eastAsia="仿宋_GB2312"/>
          <w:color w:val="auto"/>
          <w:sz w:val="28"/>
          <w:szCs w:val="28"/>
          <w:highlight w:val="none"/>
          <w:lang w:val="en-US" w:eastAsia="zh-CN"/>
        </w:rPr>
        <w:t>具体如下：</w:t>
      </w:r>
    </w:p>
    <w:tbl>
      <w:tblPr>
        <w:tblStyle w:val="14"/>
        <w:tblW w:w="7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1705"/>
        <w:gridCol w:w="1816"/>
        <w:gridCol w:w="2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424" w:type="dxa"/>
            <w:vMerge w:val="restart"/>
            <w:shd w:val="clear" w:color="auto" w:fill="auto"/>
            <w:vAlign w:val="center"/>
          </w:tcPr>
          <w:p>
            <w:pPr>
              <w:widowControl/>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lang w:bidi="ar"/>
              </w:rPr>
              <w:t>车站名称</w:t>
            </w:r>
          </w:p>
        </w:tc>
        <w:tc>
          <w:tcPr>
            <w:tcW w:w="5956" w:type="dxa"/>
            <w:gridSpan w:val="3"/>
            <w:shd w:val="clear" w:color="auto" w:fill="auto"/>
            <w:vAlign w:val="center"/>
          </w:tcPr>
          <w:p>
            <w:pPr>
              <w:widowControl/>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lang w:bidi="ar"/>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1424" w:type="dxa"/>
            <w:vMerge w:val="continue"/>
            <w:shd w:val="clear" w:color="auto" w:fill="auto"/>
            <w:vAlign w:val="center"/>
          </w:tcPr>
          <w:p>
            <w:pPr>
              <w:jc w:val="center"/>
              <w:rPr>
                <w:rFonts w:hint="eastAsia" w:ascii="仿宋_GB2312" w:hAnsi="仿宋_GB2312" w:eastAsia="仿宋_GB2312" w:cs="仿宋_GB2312"/>
                <w:color w:val="auto"/>
                <w:sz w:val="24"/>
                <w:szCs w:val="24"/>
                <w:highlight w:val="none"/>
              </w:rPr>
            </w:pPr>
          </w:p>
        </w:tc>
        <w:tc>
          <w:tcPr>
            <w:tcW w:w="170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lang w:val="en-US" w:eastAsia="zh-CN" w:bidi="ar"/>
              </w:rPr>
              <w:t>计租</w:t>
            </w:r>
            <w:r>
              <w:rPr>
                <w:rFonts w:hint="eastAsia" w:ascii="仿宋_GB2312" w:hAnsi="仿宋_GB2312" w:eastAsia="仿宋_GB2312" w:cs="仿宋_GB2312"/>
                <w:color w:val="auto"/>
                <w:kern w:val="0"/>
                <w:sz w:val="24"/>
                <w:szCs w:val="24"/>
                <w:highlight w:val="none"/>
                <w:lang w:bidi="ar"/>
              </w:rPr>
              <w:t>面积（</w:t>
            </w:r>
            <w:r>
              <w:rPr>
                <w:rStyle w:val="36"/>
                <w:rFonts w:hint="eastAsia" w:ascii="仿宋_GB2312" w:hAnsi="仿宋_GB2312" w:eastAsia="仿宋_GB2312" w:cs="仿宋_GB2312"/>
                <w:color w:val="auto"/>
                <w:sz w:val="24"/>
                <w:szCs w:val="24"/>
                <w:highlight w:val="none"/>
                <w:lang w:bidi="ar"/>
              </w:rPr>
              <w:t>㎡）</w:t>
            </w:r>
          </w:p>
        </w:tc>
        <w:tc>
          <w:tcPr>
            <w:tcW w:w="1816"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lang w:bidi="ar"/>
              </w:rPr>
              <w:t>出入口通道</w:t>
            </w:r>
            <w:r>
              <w:rPr>
                <w:rFonts w:hint="eastAsia" w:ascii="仿宋_GB2312" w:hAnsi="仿宋_GB2312" w:eastAsia="仿宋_GB2312" w:cs="仿宋_GB2312"/>
                <w:b w:val="0"/>
                <w:bCs w:val="0"/>
                <w:color w:val="auto"/>
                <w:kern w:val="0"/>
                <w:sz w:val="24"/>
                <w:szCs w:val="24"/>
                <w:highlight w:val="none"/>
                <w:lang w:val="en-US" w:eastAsia="zh-CN" w:bidi="ar"/>
              </w:rPr>
              <w:t>（含用于消防疏散的下沉式广场）</w:t>
            </w:r>
            <w:r>
              <w:rPr>
                <w:rFonts w:hint="eastAsia" w:ascii="仿宋_GB2312" w:hAnsi="仿宋_GB2312" w:eastAsia="仿宋_GB2312" w:cs="仿宋_GB2312"/>
                <w:color w:val="auto"/>
                <w:kern w:val="0"/>
                <w:sz w:val="24"/>
                <w:szCs w:val="24"/>
                <w:highlight w:val="none"/>
                <w:lang w:bidi="ar"/>
              </w:rPr>
              <w:t>面积（</w:t>
            </w:r>
            <w:r>
              <w:rPr>
                <w:rStyle w:val="36"/>
                <w:rFonts w:hint="eastAsia" w:ascii="仿宋_GB2312" w:hAnsi="仿宋_GB2312" w:eastAsia="仿宋_GB2312" w:cs="仿宋_GB2312"/>
                <w:color w:val="auto"/>
                <w:sz w:val="24"/>
                <w:szCs w:val="24"/>
                <w:highlight w:val="none"/>
                <w:lang w:bidi="ar"/>
              </w:rPr>
              <w:t>㎡）</w:t>
            </w:r>
          </w:p>
        </w:tc>
        <w:tc>
          <w:tcPr>
            <w:tcW w:w="243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lang w:bidi="ar"/>
              </w:rPr>
              <w:t>总</w:t>
            </w:r>
            <w:r>
              <w:rPr>
                <w:rFonts w:hint="eastAsia" w:ascii="仿宋_GB2312" w:hAnsi="仿宋_GB2312" w:eastAsia="仿宋_GB2312" w:cs="仿宋_GB2312"/>
                <w:color w:val="auto"/>
                <w:kern w:val="0"/>
                <w:sz w:val="24"/>
                <w:szCs w:val="24"/>
                <w:highlight w:val="none"/>
                <w:lang w:val="en-US" w:eastAsia="zh-CN" w:bidi="ar"/>
              </w:rPr>
              <w:t>建筑</w:t>
            </w:r>
            <w:r>
              <w:rPr>
                <w:rFonts w:hint="eastAsia" w:ascii="仿宋_GB2312" w:hAnsi="仿宋_GB2312" w:eastAsia="仿宋_GB2312" w:cs="仿宋_GB2312"/>
                <w:color w:val="auto"/>
                <w:kern w:val="0"/>
                <w:sz w:val="24"/>
                <w:szCs w:val="24"/>
                <w:highlight w:val="none"/>
                <w:lang w:bidi="ar"/>
              </w:rPr>
              <w:t>面积（</w:t>
            </w:r>
            <w:r>
              <w:rPr>
                <w:rStyle w:val="36"/>
                <w:rFonts w:hint="eastAsia" w:ascii="仿宋_GB2312" w:hAnsi="仿宋_GB2312" w:eastAsia="仿宋_GB2312" w:cs="仿宋_GB2312"/>
                <w:color w:val="auto"/>
                <w:sz w:val="24"/>
                <w:szCs w:val="24"/>
                <w:highlight w:val="none"/>
                <w:lang w:bidi="ar"/>
              </w:rPr>
              <w:t>㎡）(a+b=c)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424" w:type="dxa"/>
            <w:vMerge w:val="continue"/>
            <w:shd w:val="clear" w:color="auto" w:fill="auto"/>
            <w:vAlign w:val="center"/>
          </w:tcPr>
          <w:p>
            <w:pPr>
              <w:jc w:val="center"/>
              <w:rPr>
                <w:rFonts w:hint="eastAsia" w:ascii="仿宋_GB2312" w:hAnsi="仿宋_GB2312" w:eastAsia="仿宋_GB2312" w:cs="仿宋_GB2312"/>
                <w:color w:val="auto"/>
                <w:sz w:val="24"/>
                <w:szCs w:val="24"/>
                <w:highlight w:val="none"/>
              </w:rPr>
            </w:pPr>
          </w:p>
        </w:tc>
        <w:tc>
          <w:tcPr>
            <w:tcW w:w="170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lang w:bidi="ar"/>
              </w:rPr>
              <w:t>a</w:t>
            </w:r>
          </w:p>
        </w:tc>
        <w:tc>
          <w:tcPr>
            <w:tcW w:w="1816"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lang w:bidi="ar"/>
              </w:rPr>
              <w:t>b</w:t>
            </w:r>
          </w:p>
        </w:tc>
        <w:tc>
          <w:tcPr>
            <w:tcW w:w="2435" w:type="dxa"/>
            <w:shd w:val="clear" w:color="auto" w:fill="auto"/>
            <w:vAlign w:val="center"/>
          </w:tcPr>
          <w:p>
            <w:pPr>
              <w:widowControl/>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lang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424" w:type="dxa"/>
            <w:shd w:val="clear" w:color="auto" w:fill="auto"/>
            <w:vAlign w:val="center"/>
          </w:tcPr>
          <w:p>
            <w:pPr>
              <w:widowControl/>
              <w:jc w:val="center"/>
              <w:textAlignment w:val="center"/>
              <w:rPr>
                <w:rFonts w:ascii="仿宋_GB2312" w:hAnsi="仿宋_GB2312" w:eastAsia="仿宋_GB2312" w:cs="仿宋_GB2312"/>
                <w:color w:val="auto"/>
                <w:highlight w:val="none"/>
              </w:rPr>
            </w:pPr>
            <w:r>
              <w:rPr>
                <w:rFonts w:hint="eastAsia" w:ascii="仿宋_GB2312" w:hAnsi="仿宋_GB2312" w:eastAsia="仿宋_GB2312" w:cs="仿宋_GB2312"/>
                <w:color w:val="auto"/>
                <w:sz w:val="24"/>
                <w:szCs w:val="24"/>
                <w:highlight w:val="none"/>
                <w:lang w:val="en-US" w:eastAsia="zh-CN"/>
              </w:rPr>
              <w:t>贵阳火车站</w:t>
            </w:r>
          </w:p>
        </w:tc>
        <w:tc>
          <w:tcPr>
            <w:tcW w:w="1705" w:type="dxa"/>
            <w:shd w:val="clear" w:color="auto" w:fill="auto"/>
            <w:vAlign w:val="center"/>
          </w:tcPr>
          <w:p>
            <w:pPr>
              <w:widowControl/>
              <w:jc w:val="center"/>
              <w:textAlignment w:val="center"/>
              <w:rPr>
                <w:rFonts w:ascii="仿宋_GB2312" w:hAnsi="仿宋_GB2312" w:eastAsia="仿宋_GB2312" w:cs="仿宋_GB2312"/>
                <w:color w:val="auto"/>
                <w:highlight w:val="none"/>
              </w:rPr>
            </w:pPr>
            <w:r>
              <w:rPr>
                <w:rFonts w:hint="eastAsia" w:ascii="仿宋_GB2312" w:hAnsi="仿宋_GB2312" w:eastAsia="仿宋_GB2312" w:cs="仿宋_GB2312"/>
                <w:color w:val="auto"/>
                <w:kern w:val="0"/>
                <w:sz w:val="24"/>
                <w:szCs w:val="24"/>
                <w:lang w:val="en-US" w:eastAsia="zh-CN"/>
              </w:rPr>
              <w:t>2554.97</w:t>
            </w:r>
          </w:p>
        </w:tc>
        <w:tc>
          <w:tcPr>
            <w:tcW w:w="1816" w:type="dxa"/>
            <w:shd w:val="clear" w:color="auto" w:fill="auto"/>
            <w:vAlign w:val="center"/>
          </w:tcPr>
          <w:p>
            <w:pPr>
              <w:widowControl/>
              <w:jc w:val="center"/>
              <w:textAlignment w:val="center"/>
              <w:rPr>
                <w:rFonts w:ascii="仿宋_GB2312" w:hAnsi="仿宋_GB2312" w:eastAsia="仿宋_GB2312" w:cs="仿宋_GB2312"/>
                <w:color w:val="auto"/>
                <w:highlight w:val="none"/>
              </w:rPr>
            </w:pPr>
            <w:r>
              <w:rPr>
                <w:rFonts w:hint="eastAsia" w:ascii="仿宋_GB2312" w:hAnsi="仿宋_GB2312" w:eastAsia="仿宋_GB2312" w:cs="仿宋_GB2312"/>
                <w:color w:val="auto"/>
                <w:kern w:val="0"/>
                <w:sz w:val="24"/>
                <w:szCs w:val="24"/>
                <w:lang w:val="en-US" w:eastAsia="zh-CN"/>
              </w:rPr>
              <w:t>772.86</w:t>
            </w:r>
          </w:p>
        </w:tc>
        <w:tc>
          <w:tcPr>
            <w:tcW w:w="2435" w:type="dxa"/>
            <w:shd w:val="clear" w:color="auto" w:fill="auto"/>
            <w:vAlign w:val="center"/>
          </w:tcPr>
          <w:p>
            <w:pPr>
              <w:widowControl/>
              <w:jc w:val="center"/>
              <w:textAlignment w:val="center"/>
              <w:rPr>
                <w:rFonts w:ascii="仿宋_GB2312" w:hAnsi="仿宋_GB2312" w:eastAsia="仿宋_GB2312" w:cs="仿宋_GB2312"/>
                <w:color w:val="auto"/>
                <w:highlight w:val="none"/>
              </w:rPr>
            </w:pPr>
            <w:r>
              <w:rPr>
                <w:rFonts w:hint="eastAsia" w:ascii="仿宋_GB2312" w:hAnsi="仿宋_GB2312" w:eastAsia="仿宋_GB2312" w:cs="仿宋_GB2312"/>
                <w:color w:val="auto"/>
                <w:kern w:val="0"/>
                <w:sz w:val="24"/>
                <w:szCs w:val="24"/>
                <w:lang w:val="en-US" w:eastAsia="zh-CN"/>
              </w:rPr>
              <w:t>3327.83</w:t>
            </w:r>
          </w:p>
        </w:tc>
      </w:tr>
    </w:tbl>
    <w:p>
      <w:pPr>
        <w:overflowPunct w:val="0"/>
        <w:autoSpaceDE w:val="0"/>
        <w:ind w:firstLine="520" w:firstLineChars="186"/>
        <w:jc w:val="left"/>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 xml:space="preserve">3.2 </w:t>
      </w:r>
      <w:r>
        <w:rPr>
          <w:rFonts w:hint="eastAsia" w:ascii="仿宋_GB2312" w:hAnsi="仿宋_GB2312" w:eastAsia="仿宋_GB2312" w:cs="仿宋_GB2312"/>
          <w:b w:val="0"/>
          <w:bCs/>
          <w:sz w:val="28"/>
          <w:szCs w:val="28"/>
          <w:lang w:val="en-US" w:eastAsia="zh-CN"/>
        </w:rPr>
        <w:t>计租面积为物业空间总建筑面积中扣除出入口通道及用于消防疏散的下沉式广场后的剩余面积。</w:t>
      </w:r>
    </w:p>
    <w:p>
      <w:pPr>
        <w:overflowPunct w:val="0"/>
        <w:autoSpaceDE w:val="0"/>
        <w:ind w:firstLine="520" w:firstLineChars="186"/>
        <w:jc w:val="left"/>
        <w:rPr>
          <w:rFonts w:hint="default" w:ascii="仿宋_GB2312" w:hAnsi="宋体" w:eastAsia="仿宋_GB2312"/>
          <w:color w:val="auto"/>
          <w:sz w:val="28"/>
          <w:szCs w:val="28"/>
          <w:highlight w:val="none"/>
          <w:lang w:val="en-US" w:eastAsia="zh-CN"/>
        </w:rPr>
      </w:pPr>
      <w:r>
        <w:rPr>
          <w:rFonts w:hint="eastAsia" w:ascii="仿宋_GB2312" w:hAnsi="宋体" w:eastAsia="仿宋_GB2312"/>
          <w:color w:val="auto"/>
          <w:sz w:val="28"/>
          <w:szCs w:val="28"/>
          <w:highlight w:val="none"/>
          <w:lang w:val="en-US" w:eastAsia="zh-CN"/>
        </w:rPr>
        <w:t xml:space="preserve">3.3 </w:t>
      </w:r>
      <w:r>
        <w:rPr>
          <w:rFonts w:hint="eastAsia" w:ascii="仿宋_GB2312" w:hAnsi="宋体" w:eastAsia="仿宋_GB2312"/>
          <w:color w:val="auto"/>
          <w:sz w:val="28"/>
          <w:szCs w:val="28"/>
          <w:highlight w:val="none"/>
        </w:rPr>
        <w:t>最终</w:t>
      </w:r>
      <w:r>
        <w:rPr>
          <w:rFonts w:hint="eastAsia" w:ascii="仿宋_GB2312" w:hAnsi="宋体" w:eastAsia="仿宋_GB2312"/>
          <w:color w:val="auto"/>
          <w:sz w:val="28"/>
          <w:szCs w:val="28"/>
          <w:highlight w:val="none"/>
          <w:lang w:val="en-US" w:eastAsia="zh-CN"/>
        </w:rPr>
        <w:t>计租</w:t>
      </w:r>
      <w:r>
        <w:rPr>
          <w:rFonts w:hint="eastAsia" w:ascii="仿宋_GB2312" w:hAnsi="宋体" w:eastAsia="仿宋_GB2312"/>
          <w:color w:val="auto"/>
          <w:sz w:val="28"/>
          <w:szCs w:val="28"/>
          <w:highlight w:val="none"/>
        </w:rPr>
        <w:t>面积以实际交付为准（有异议时，以异议方委托</w:t>
      </w:r>
      <w:r>
        <w:rPr>
          <w:rFonts w:hint="eastAsia" w:ascii="仿宋_GB2312" w:hAnsi="宋体" w:eastAsia="仿宋_GB2312"/>
          <w:color w:val="auto"/>
          <w:sz w:val="28"/>
          <w:szCs w:val="28"/>
          <w:highlight w:val="none"/>
          <w:lang w:val="en-US" w:eastAsia="zh-CN"/>
        </w:rPr>
        <w:t>双方均认可的</w:t>
      </w:r>
      <w:r>
        <w:rPr>
          <w:rFonts w:hint="eastAsia" w:ascii="仿宋_GB2312" w:hAnsi="宋体" w:eastAsia="仿宋_GB2312"/>
          <w:color w:val="auto"/>
          <w:sz w:val="28"/>
          <w:szCs w:val="28"/>
          <w:highlight w:val="none"/>
        </w:rPr>
        <w:t>具有相关资质的第三方测绘单位实测数据为准），</w:t>
      </w:r>
      <w:r>
        <w:rPr>
          <w:rFonts w:hint="eastAsia" w:ascii="仿宋_GB2312" w:hAnsi="宋体" w:eastAsia="仿宋_GB2312"/>
          <w:color w:val="auto"/>
          <w:sz w:val="28"/>
          <w:szCs w:val="28"/>
          <w:highlight w:val="none"/>
          <w:lang w:val="en-US" w:eastAsia="zh-CN"/>
        </w:rPr>
        <w:t>实测数据与原计租</w:t>
      </w:r>
      <w:r>
        <w:rPr>
          <w:rFonts w:hint="eastAsia" w:ascii="仿宋_GB2312" w:hAnsi="宋体" w:eastAsia="仿宋_GB2312"/>
          <w:color w:val="auto"/>
          <w:sz w:val="28"/>
          <w:szCs w:val="28"/>
          <w:highlight w:val="none"/>
        </w:rPr>
        <w:t>面积误差</w:t>
      </w:r>
      <w:r>
        <w:rPr>
          <w:rFonts w:hint="eastAsia" w:ascii="仿宋_GB2312" w:hAnsi="宋体" w:eastAsia="仿宋_GB2312"/>
          <w:color w:val="auto"/>
          <w:sz w:val="28"/>
          <w:szCs w:val="28"/>
          <w:highlight w:val="none"/>
          <w:lang w:val="en-US" w:eastAsia="zh-CN"/>
        </w:rPr>
        <w:t>小于等于</w:t>
      </w:r>
      <w:r>
        <w:rPr>
          <w:rFonts w:hint="eastAsia" w:ascii="仿宋_GB2312" w:hAnsi="宋体" w:eastAsia="仿宋_GB2312"/>
          <w:color w:val="auto"/>
          <w:sz w:val="28"/>
          <w:szCs w:val="28"/>
          <w:highlight w:val="none"/>
        </w:rPr>
        <w:t>5%</w:t>
      </w:r>
      <w:r>
        <w:rPr>
          <w:rFonts w:hint="eastAsia" w:ascii="仿宋_GB2312" w:hAnsi="宋体" w:eastAsia="仿宋_GB2312"/>
          <w:color w:val="auto"/>
          <w:sz w:val="28"/>
          <w:szCs w:val="28"/>
          <w:highlight w:val="none"/>
          <w:lang w:val="en-US" w:eastAsia="zh-CN"/>
        </w:rPr>
        <w:t>时</w:t>
      </w:r>
      <w:r>
        <w:rPr>
          <w:rFonts w:hint="eastAsia" w:ascii="仿宋_GB2312" w:hAnsi="宋体" w:eastAsia="仿宋_GB2312"/>
          <w:color w:val="auto"/>
          <w:sz w:val="28"/>
          <w:szCs w:val="28"/>
          <w:highlight w:val="none"/>
        </w:rPr>
        <w:t>，</w:t>
      </w:r>
      <w:r>
        <w:rPr>
          <w:rFonts w:hint="eastAsia" w:ascii="仿宋_GB2312" w:hAnsi="宋体" w:eastAsia="仿宋_GB2312"/>
          <w:color w:val="auto"/>
          <w:sz w:val="28"/>
          <w:szCs w:val="28"/>
          <w:highlight w:val="none"/>
          <w:lang w:eastAsia="zh-CN"/>
        </w:rPr>
        <w:t>按</w:t>
      </w:r>
      <w:r>
        <w:rPr>
          <w:rFonts w:hint="eastAsia" w:ascii="仿宋_GB2312" w:hAnsi="宋体" w:eastAsia="仿宋_GB2312"/>
          <w:color w:val="auto"/>
          <w:sz w:val="28"/>
          <w:szCs w:val="28"/>
          <w:highlight w:val="none"/>
          <w:lang w:val="en-US" w:eastAsia="zh-CN"/>
        </w:rPr>
        <w:t>原计租面积计租</w:t>
      </w:r>
      <w:r>
        <w:rPr>
          <w:rFonts w:hint="eastAsia" w:ascii="仿宋_GB2312" w:hAnsi="宋体" w:eastAsia="仿宋_GB2312"/>
          <w:color w:val="auto"/>
          <w:sz w:val="28"/>
          <w:szCs w:val="28"/>
          <w:highlight w:val="none"/>
        </w:rPr>
        <w:t>；</w:t>
      </w:r>
      <w:r>
        <w:rPr>
          <w:rFonts w:hint="eastAsia" w:ascii="仿宋_GB2312" w:hAnsi="宋体" w:eastAsia="仿宋_GB2312"/>
          <w:color w:val="auto"/>
          <w:sz w:val="28"/>
          <w:szCs w:val="28"/>
          <w:highlight w:val="none"/>
          <w:lang w:val="en-US" w:eastAsia="zh-CN"/>
        </w:rPr>
        <w:t>实测数据与原计租</w:t>
      </w:r>
      <w:r>
        <w:rPr>
          <w:rFonts w:hint="eastAsia" w:ascii="仿宋_GB2312" w:hAnsi="宋体" w:eastAsia="仿宋_GB2312"/>
          <w:color w:val="auto"/>
          <w:sz w:val="28"/>
          <w:szCs w:val="28"/>
          <w:highlight w:val="none"/>
        </w:rPr>
        <w:t>面积误差</w:t>
      </w:r>
      <w:r>
        <w:rPr>
          <w:rFonts w:hint="eastAsia" w:ascii="仿宋_GB2312" w:hAnsi="宋体" w:eastAsia="仿宋_GB2312"/>
          <w:color w:val="auto"/>
          <w:sz w:val="28"/>
          <w:szCs w:val="28"/>
          <w:highlight w:val="none"/>
          <w:lang w:val="en-US" w:eastAsia="zh-CN"/>
        </w:rPr>
        <w:t>大于</w:t>
      </w:r>
      <w:r>
        <w:rPr>
          <w:rFonts w:hint="eastAsia" w:ascii="仿宋_GB2312" w:hAnsi="宋体" w:eastAsia="仿宋_GB2312"/>
          <w:color w:val="auto"/>
          <w:sz w:val="28"/>
          <w:szCs w:val="28"/>
          <w:highlight w:val="none"/>
        </w:rPr>
        <w:t>5%</w:t>
      </w:r>
      <w:r>
        <w:rPr>
          <w:rFonts w:hint="eastAsia" w:ascii="仿宋_GB2312" w:hAnsi="宋体" w:eastAsia="仿宋_GB2312"/>
          <w:color w:val="auto"/>
          <w:sz w:val="28"/>
          <w:szCs w:val="28"/>
          <w:highlight w:val="none"/>
          <w:lang w:val="en-US" w:eastAsia="zh-CN"/>
        </w:rPr>
        <w:t>时</w:t>
      </w:r>
      <w:r>
        <w:rPr>
          <w:rFonts w:hint="eastAsia" w:ascii="仿宋_GB2312" w:hAnsi="宋体" w:eastAsia="仿宋_GB2312"/>
          <w:color w:val="auto"/>
          <w:sz w:val="28"/>
          <w:szCs w:val="28"/>
          <w:highlight w:val="none"/>
        </w:rPr>
        <w:t>，按实际面积计租。</w:t>
      </w:r>
    </w:p>
    <w:p>
      <w:pPr>
        <w:overflowPunct w:val="0"/>
        <w:autoSpaceDE w:val="0"/>
        <w:ind w:firstLine="520" w:firstLineChars="186"/>
        <w:jc w:val="left"/>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3.</w:t>
      </w:r>
      <w:r>
        <w:rPr>
          <w:rFonts w:hint="eastAsia" w:ascii="仿宋_GB2312" w:hAnsi="宋体" w:eastAsia="仿宋_GB2312"/>
          <w:color w:val="auto"/>
          <w:sz w:val="28"/>
          <w:szCs w:val="28"/>
          <w:highlight w:val="none"/>
          <w:lang w:val="en-US" w:eastAsia="zh-CN"/>
        </w:rPr>
        <w:t>4</w:t>
      </w:r>
      <w:r>
        <w:rPr>
          <w:rFonts w:hint="eastAsia" w:ascii="仿宋_GB2312" w:hAnsi="宋体" w:eastAsia="仿宋_GB2312"/>
          <w:color w:val="auto"/>
          <w:sz w:val="28"/>
          <w:szCs w:val="28"/>
          <w:highlight w:val="none"/>
        </w:rPr>
        <w:t xml:space="preserve"> 出租标的现状</w:t>
      </w:r>
    </w:p>
    <w:p>
      <w:pPr>
        <w:overflowPunct w:val="0"/>
        <w:autoSpaceDE w:val="0"/>
        <w:ind w:firstLine="520" w:firstLineChars="186"/>
        <w:jc w:val="left"/>
        <w:rPr>
          <w:rFonts w:hint="eastAsia" w:ascii="仿宋_GB2312" w:hAnsi="宋体" w:eastAsia="仿宋_GB2312"/>
          <w:color w:val="auto"/>
          <w:sz w:val="28"/>
          <w:szCs w:val="28"/>
          <w:highlight w:val="none"/>
          <w:lang w:val="en-US" w:eastAsia="zh-CN"/>
        </w:rPr>
      </w:pPr>
      <w:r>
        <w:rPr>
          <w:rFonts w:hint="eastAsia" w:ascii="仿宋_GB2312" w:hAnsi="宋体" w:eastAsia="仿宋_GB2312"/>
          <w:color w:val="auto"/>
          <w:sz w:val="28"/>
          <w:szCs w:val="28"/>
          <w:highlight w:val="none"/>
          <w:lang w:val="en-US" w:eastAsia="zh-CN"/>
        </w:rPr>
        <w:t>3.4.1 物业空间按现状出租，现场仅完成了主体、出入口（下沉式广场）和风井混凝土结构施工并预留水电接入条件，具体实施及预留情况详见附件1《贵阳轨道交通1号线工程车站物业空间设置情况及预留措施统计表》，以下简称《预留措施表》。</w:t>
      </w:r>
    </w:p>
    <w:p>
      <w:pPr>
        <w:overflowPunct w:val="0"/>
        <w:autoSpaceDE w:val="0"/>
        <w:ind w:firstLine="520" w:firstLineChars="186"/>
        <w:jc w:val="left"/>
        <w:rPr>
          <w:rFonts w:hint="eastAsia" w:ascii="仿宋_GB2312" w:hAnsi="宋体" w:eastAsia="仿宋_GB2312"/>
          <w:color w:val="auto"/>
          <w:sz w:val="28"/>
          <w:szCs w:val="28"/>
          <w:highlight w:val="none"/>
          <w:lang w:val="en-US" w:eastAsia="zh-CN"/>
        </w:rPr>
      </w:pPr>
      <w:r>
        <w:rPr>
          <w:rFonts w:hint="eastAsia" w:ascii="仿宋_GB2312" w:hAnsi="宋体" w:eastAsia="仿宋_GB2312"/>
          <w:color w:val="auto"/>
          <w:sz w:val="28"/>
          <w:szCs w:val="28"/>
          <w:highlight w:val="none"/>
          <w:lang w:val="en-US" w:eastAsia="zh-CN"/>
        </w:rPr>
        <w:t>3.4.2 乙方须自行承担物业空间达到经营条件所需的其他工程建设、装饰装修及设施设备安装（包含但不限于主业不实施的物业出入口顶盖、外立面装饰、冷却塔、交通导向标识、与市政设施接驳、给排水、强弱电、通风空调、消防设备设施、电扶梯等工程内容的设计、采购、安装施工），并承担其后期维修维护费用。</w:t>
      </w:r>
    </w:p>
    <w:p>
      <w:pPr>
        <w:overflowPunct w:val="0"/>
        <w:autoSpaceDE w:val="0"/>
        <w:ind w:firstLine="520" w:firstLineChars="186"/>
        <w:jc w:val="left"/>
        <w:rPr>
          <w:rFonts w:hint="eastAsia" w:ascii="仿宋_GB2312" w:hAnsi="宋体" w:eastAsia="仿宋_GB2312"/>
          <w:color w:val="auto"/>
          <w:sz w:val="28"/>
          <w:szCs w:val="28"/>
          <w:highlight w:val="none"/>
          <w:lang w:val="en-US" w:eastAsia="zh-CN"/>
        </w:rPr>
      </w:pPr>
      <w:r>
        <w:rPr>
          <w:rFonts w:hint="eastAsia" w:ascii="仿宋_GB2312" w:hAnsi="宋体" w:eastAsia="仿宋_GB2312"/>
          <w:color w:val="auto"/>
          <w:sz w:val="28"/>
          <w:szCs w:val="28"/>
          <w:highlight w:val="none"/>
          <w:lang w:val="en-US" w:eastAsia="zh-CN"/>
        </w:rPr>
        <w:t>3.4.3 物业空间在轨道主业实施阶段仅初步按地下商业相关要求完成了防火分区划分并实施了疏散楼梯的土建结构，取得相应施工图设计文件审查合格证书﹐承租方在不影响轨道交通功能需求及运营安全的前提下,须根据自身业态需求进一步深化装修施工图、划分防火分区等方案设计工作，并自行按程序完善相应审批手续。</w:t>
      </w:r>
    </w:p>
    <w:p>
      <w:pPr>
        <w:overflowPunct w:val="0"/>
        <w:autoSpaceDE w:val="0"/>
        <w:ind w:firstLine="520" w:firstLineChars="186"/>
        <w:jc w:val="left"/>
        <w:rPr>
          <w:rFonts w:hint="eastAsia" w:ascii="仿宋_GB2312" w:hAnsi="宋体" w:eastAsia="仿宋_GB2312"/>
          <w:color w:val="auto"/>
          <w:sz w:val="28"/>
          <w:szCs w:val="28"/>
          <w:highlight w:val="none"/>
          <w:lang w:val="en-US" w:eastAsia="zh-CN"/>
        </w:rPr>
      </w:pPr>
      <w:r>
        <w:rPr>
          <w:rFonts w:hint="eastAsia" w:ascii="仿宋_GB2312" w:hAnsi="宋体" w:eastAsia="仿宋_GB2312"/>
          <w:color w:val="auto"/>
          <w:sz w:val="28"/>
          <w:szCs w:val="28"/>
          <w:highlight w:val="none"/>
          <w:lang w:val="en-US" w:eastAsia="zh-CN"/>
        </w:rPr>
        <w:t>3.4.4 如乙方需对甲方实施的土建结构或设施设备进行拆除或改造，须获得甲方书面同意，由乙方负责实施并承担相应费用。</w:t>
      </w:r>
    </w:p>
    <w:p>
      <w:pPr>
        <w:adjustRightInd/>
        <w:spacing w:line="360" w:lineRule="auto"/>
        <w:ind w:right="0" w:rightChars="0" w:firstLine="481" w:firstLineChars="171"/>
        <w:rPr>
          <w:rFonts w:ascii="黑体" w:hAnsi="黑体" w:eastAsia="黑体" w:cs="黑体"/>
          <w:b/>
          <w:color w:val="auto"/>
          <w:sz w:val="28"/>
          <w:szCs w:val="28"/>
          <w:highlight w:val="none"/>
        </w:rPr>
      </w:pPr>
      <w:r>
        <w:rPr>
          <w:rFonts w:hint="eastAsia" w:ascii="黑体" w:hAnsi="黑体" w:eastAsia="黑体" w:cs="黑体"/>
          <w:b/>
          <w:color w:val="auto"/>
          <w:sz w:val="28"/>
          <w:szCs w:val="28"/>
          <w:highlight w:val="none"/>
        </w:rPr>
        <w:t>第四条</w:t>
      </w:r>
      <w:r>
        <w:rPr>
          <w:rFonts w:ascii="黑体" w:hAnsi="黑体" w:eastAsia="黑体" w:cs="黑体"/>
          <w:b/>
          <w:color w:val="auto"/>
          <w:sz w:val="28"/>
          <w:szCs w:val="28"/>
          <w:highlight w:val="none"/>
        </w:rPr>
        <w:t xml:space="preserve"> </w:t>
      </w:r>
      <w:r>
        <w:rPr>
          <w:rFonts w:hint="eastAsia" w:ascii="黑体" w:hAnsi="黑体" w:eastAsia="黑体" w:cs="黑体"/>
          <w:b/>
          <w:color w:val="auto"/>
          <w:sz w:val="28"/>
          <w:szCs w:val="28"/>
          <w:highlight w:val="none"/>
        </w:rPr>
        <w:t>租赁用途</w:t>
      </w:r>
    </w:p>
    <w:p>
      <w:pPr>
        <w:overflowPunct w:val="0"/>
        <w:autoSpaceDE w:val="0"/>
        <w:ind w:firstLine="520" w:firstLineChars="186"/>
        <w:jc w:val="left"/>
        <w:rPr>
          <w:rFonts w:hint="eastAsia" w:ascii="仿宋_GB2312" w:hAnsi="宋体" w:eastAsia="仿宋_GB2312"/>
          <w:color w:val="auto"/>
          <w:sz w:val="28"/>
          <w:szCs w:val="28"/>
          <w:highlight w:val="none"/>
          <w:lang w:val="en-US" w:eastAsia="zh-CN"/>
        </w:rPr>
      </w:pPr>
      <w:r>
        <w:rPr>
          <w:rFonts w:hint="eastAsia" w:ascii="仿宋_GB2312" w:hAnsi="宋体" w:eastAsia="仿宋_GB2312"/>
          <w:color w:val="auto"/>
          <w:sz w:val="28"/>
          <w:szCs w:val="28"/>
          <w:highlight w:val="none"/>
          <w:lang w:val="en-US" w:eastAsia="zh-CN"/>
        </w:rPr>
        <w:t>4.1 租赁用途</w:t>
      </w:r>
    </w:p>
    <w:p>
      <w:pPr>
        <w:overflowPunct w:val="0"/>
        <w:autoSpaceDE w:val="0"/>
        <w:ind w:firstLine="520" w:firstLineChars="186"/>
        <w:jc w:val="left"/>
        <w:rPr>
          <w:rFonts w:hint="eastAsia" w:ascii="仿宋_GB2312" w:hAnsi="宋体" w:eastAsia="仿宋_GB2312"/>
          <w:color w:val="auto"/>
          <w:sz w:val="28"/>
          <w:szCs w:val="28"/>
          <w:highlight w:val="none"/>
          <w:lang w:val="en-US" w:eastAsia="zh-CN"/>
        </w:rPr>
      </w:pPr>
      <w:r>
        <w:rPr>
          <w:rFonts w:hint="eastAsia" w:ascii="仿宋_GB2312" w:hAnsi="宋体" w:eastAsia="仿宋_GB2312"/>
          <w:color w:val="auto"/>
          <w:sz w:val="28"/>
          <w:szCs w:val="28"/>
          <w:highlight w:val="none"/>
          <w:lang w:val="en-US" w:eastAsia="zh-CN"/>
        </w:rPr>
        <w:t>甲方</w:t>
      </w:r>
      <w:r>
        <w:rPr>
          <w:rFonts w:hint="default" w:ascii="仿宋_GB2312" w:hAnsi="宋体" w:eastAsia="仿宋_GB2312"/>
          <w:color w:val="auto"/>
          <w:sz w:val="28"/>
          <w:szCs w:val="28"/>
          <w:highlight w:val="none"/>
          <w:lang w:val="en-US" w:eastAsia="zh-CN"/>
        </w:rPr>
        <w:t>将贵阳轨道交通</w:t>
      </w:r>
      <w:r>
        <w:rPr>
          <w:rFonts w:hint="eastAsia" w:ascii="仿宋_GB2312" w:hAnsi="宋体" w:eastAsia="仿宋_GB2312"/>
          <w:color w:val="auto"/>
          <w:sz w:val="28"/>
          <w:szCs w:val="28"/>
          <w:highlight w:val="none"/>
          <w:lang w:val="en-US" w:eastAsia="zh-CN"/>
        </w:rPr>
        <w:t>1号线贵阳火车站</w:t>
      </w:r>
      <w:r>
        <w:rPr>
          <w:rFonts w:hint="default" w:ascii="仿宋_GB2312" w:hAnsi="宋体" w:eastAsia="仿宋_GB2312"/>
          <w:color w:val="auto"/>
          <w:sz w:val="28"/>
          <w:szCs w:val="28"/>
          <w:highlight w:val="none"/>
          <w:lang w:val="en-US" w:eastAsia="zh-CN"/>
        </w:rPr>
        <w:t>物业空间</w:t>
      </w:r>
      <w:r>
        <w:rPr>
          <w:rFonts w:hint="eastAsia" w:ascii="仿宋_GB2312" w:hAnsi="宋体" w:eastAsia="仿宋_GB2312"/>
          <w:color w:val="auto"/>
          <w:sz w:val="28"/>
          <w:szCs w:val="28"/>
          <w:highlight w:val="none"/>
          <w:lang w:val="en-US" w:eastAsia="zh-CN"/>
        </w:rPr>
        <w:t>使用权</w:t>
      </w:r>
      <w:r>
        <w:rPr>
          <w:rFonts w:hint="default" w:ascii="仿宋_GB2312" w:hAnsi="宋体" w:eastAsia="仿宋_GB2312"/>
          <w:color w:val="auto"/>
          <w:sz w:val="28"/>
          <w:szCs w:val="28"/>
          <w:highlight w:val="none"/>
          <w:lang w:val="en-US" w:eastAsia="zh-CN"/>
        </w:rPr>
        <w:t>出租给</w:t>
      </w:r>
      <w:r>
        <w:rPr>
          <w:rFonts w:hint="eastAsia" w:ascii="仿宋_GB2312" w:hAnsi="宋体" w:eastAsia="仿宋_GB2312"/>
          <w:color w:val="auto"/>
          <w:sz w:val="28"/>
          <w:szCs w:val="28"/>
          <w:highlight w:val="none"/>
          <w:lang w:val="en-US" w:eastAsia="zh-CN"/>
        </w:rPr>
        <w:t>乙方</w:t>
      </w:r>
      <w:r>
        <w:rPr>
          <w:rFonts w:hint="default" w:ascii="仿宋_GB2312" w:hAnsi="宋体" w:eastAsia="仿宋_GB2312"/>
          <w:color w:val="auto"/>
          <w:sz w:val="28"/>
          <w:szCs w:val="28"/>
          <w:highlight w:val="none"/>
          <w:lang w:val="en-US" w:eastAsia="zh-CN"/>
        </w:rPr>
        <w:t>，并授予</w:t>
      </w:r>
      <w:r>
        <w:rPr>
          <w:rFonts w:hint="eastAsia" w:ascii="仿宋_GB2312" w:hAnsi="宋体" w:eastAsia="仿宋_GB2312"/>
          <w:color w:val="auto"/>
          <w:sz w:val="28"/>
          <w:szCs w:val="28"/>
          <w:highlight w:val="none"/>
          <w:lang w:val="en-US" w:eastAsia="zh-CN"/>
        </w:rPr>
        <w:t>乙方</w:t>
      </w:r>
      <w:r>
        <w:rPr>
          <w:rFonts w:hint="default" w:ascii="仿宋_GB2312" w:hAnsi="宋体" w:eastAsia="仿宋_GB2312"/>
          <w:color w:val="auto"/>
          <w:sz w:val="28"/>
          <w:szCs w:val="28"/>
          <w:highlight w:val="none"/>
          <w:lang w:val="en-US" w:eastAsia="zh-CN"/>
        </w:rPr>
        <w:t>在经营准备期、租赁期限、租赁范围内的商业经营、命名及与自身经营产品相关的广告</w:t>
      </w:r>
      <w:r>
        <w:rPr>
          <w:rFonts w:hint="eastAsia" w:ascii="仿宋_GB2312" w:hAnsi="宋体" w:eastAsia="仿宋_GB2312"/>
          <w:color w:val="auto"/>
          <w:sz w:val="28"/>
          <w:szCs w:val="28"/>
          <w:highlight w:val="none"/>
          <w:lang w:val="en-US" w:eastAsia="zh-CN"/>
        </w:rPr>
        <w:t>资源设置</w:t>
      </w:r>
      <w:r>
        <w:rPr>
          <w:rFonts w:hint="default" w:ascii="仿宋_GB2312" w:hAnsi="宋体" w:eastAsia="仿宋_GB2312"/>
          <w:color w:val="auto"/>
          <w:sz w:val="28"/>
          <w:szCs w:val="28"/>
          <w:highlight w:val="none"/>
          <w:lang w:val="en-US" w:eastAsia="zh-CN"/>
        </w:rPr>
        <w:t>权利</w:t>
      </w:r>
      <w:r>
        <w:rPr>
          <w:rFonts w:hint="eastAsia" w:ascii="仿宋_GB2312" w:hAnsi="宋体" w:eastAsia="仿宋_GB2312"/>
          <w:color w:val="auto"/>
          <w:sz w:val="28"/>
          <w:szCs w:val="28"/>
          <w:highlight w:val="none"/>
          <w:lang w:val="en-US" w:eastAsia="zh-CN"/>
        </w:rPr>
        <w:t>。</w:t>
      </w:r>
    </w:p>
    <w:p>
      <w:pPr>
        <w:overflowPunct w:val="0"/>
        <w:autoSpaceDE w:val="0"/>
        <w:ind w:firstLine="520" w:firstLineChars="186"/>
        <w:jc w:val="left"/>
        <w:rPr>
          <w:rFonts w:hint="eastAsia" w:ascii="仿宋_GB2312" w:hAnsi="宋体" w:eastAsia="仿宋_GB2312"/>
          <w:color w:val="auto"/>
          <w:sz w:val="28"/>
          <w:szCs w:val="28"/>
          <w:highlight w:val="none"/>
          <w:lang w:val="en-US" w:eastAsia="zh-CN"/>
        </w:rPr>
      </w:pPr>
      <w:r>
        <w:rPr>
          <w:rFonts w:hint="eastAsia" w:ascii="仿宋_GB2312" w:hAnsi="宋体" w:eastAsia="仿宋_GB2312"/>
          <w:color w:val="auto"/>
          <w:sz w:val="28"/>
          <w:szCs w:val="28"/>
          <w:highlight w:val="none"/>
          <w:lang w:val="en-US" w:eastAsia="zh-CN"/>
        </w:rPr>
        <w:t>4.1.1 商业经营</w:t>
      </w:r>
    </w:p>
    <w:p>
      <w:pPr>
        <w:overflowPunct w:val="0"/>
        <w:autoSpaceDE w:val="0"/>
        <w:ind w:firstLine="520" w:firstLineChars="186"/>
        <w:jc w:val="left"/>
        <w:rPr>
          <w:rFonts w:hint="eastAsia" w:ascii="仿宋_GB2312" w:hAnsi="宋体" w:eastAsia="仿宋_GB2312"/>
          <w:color w:val="auto"/>
          <w:sz w:val="28"/>
          <w:szCs w:val="28"/>
          <w:highlight w:val="none"/>
          <w:lang w:val="en-US" w:eastAsia="zh-CN"/>
        </w:rPr>
      </w:pPr>
      <w:r>
        <w:rPr>
          <w:rFonts w:hint="eastAsia" w:ascii="仿宋_GB2312" w:hAnsi="宋体" w:eastAsia="仿宋_GB2312"/>
          <w:color w:val="auto"/>
          <w:sz w:val="28"/>
          <w:szCs w:val="28"/>
          <w:highlight w:val="none"/>
          <w:lang w:val="en-US" w:eastAsia="zh-CN"/>
        </w:rPr>
        <w:t>甲方</w:t>
      </w:r>
      <w:r>
        <w:rPr>
          <w:rFonts w:hint="default" w:ascii="仿宋_GB2312" w:hAnsi="宋体" w:eastAsia="仿宋_GB2312"/>
          <w:color w:val="auto"/>
          <w:sz w:val="28"/>
          <w:szCs w:val="28"/>
          <w:highlight w:val="none"/>
          <w:lang w:val="en-US" w:eastAsia="zh-CN"/>
        </w:rPr>
        <w:t>授予</w:t>
      </w:r>
      <w:r>
        <w:rPr>
          <w:rFonts w:hint="eastAsia" w:ascii="仿宋_GB2312" w:hAnsi="宋体" w:eastAsia="仿宋_GB2312"/>
          <w:color w:val="auto"/>
          <w:sz w:val="28"/>
          <w:szCs w:val="28"/>
          <w:highlight w:val="none"/>
          <w:lang w:val="en-US" w:eastAsia="zh-CN"/>
        </w:rPr>
        <w:t>乙方</w:t>
      </w:r>
      <w:r>
        <w:rPr>
          <w:rFonts w:hint="default" w:ascii="仿宋_GB2312" w:hAnsi="宋体" w:eastAsia="仿宋_GB2312"/>
          <w:color w:val="auto"/>
          <w:sz w:val="28"/>
          <w:szCs w:val="28"/>
          <w:highlight w:val="none"/>
          <w:lang w:val="en-US" w:eastAsia="zh-CN"/>
        </w:rPr>
        <w:t>在经营准备期、租赁期限、租赁经营范围内商业资源</w:t>
      </w:r>
      <w:r>
        <w:rPr>
          <w:rFonts w:hint="eastAsia" w:ascii="仿宋_GB2312" w:hAnsi="宋体" w:eastAsia="仿宋_GB2312"/>
          <w:color w:val="auto"/>
          <w:sz w:val="28"/>
          <w:szCs w:val="28"/>
          <w:highlight w:val="none"/>
          <w:lang w:val="en-US" w:eastAsia="zh-CN"/>
        </w:rPr>
        <w:t>使用权</w:t>
      </w:r>
      <w:r>
        <w:rPr>
          <w:rFonts w:hint="default" w:ascii="仿宋_GB2312" w:hAnsi="宋体" w:eastAsia="仿宋_GB2312"/>
          <w:color w:val="auto"/>
          <w:sz w:val="28"/>
          <w:szCs w:val="28"/>
          <w:highlight w:val="none"/>
          <w:lang w:val="en-US" w:eastAsia="zh-CN"/>
        </w:rPr>
        <w:t>利，包括但不限于按照约定进行项目商业资源的规划、建设、经营、维护等。</w:t>
      </w:r>
    </w:p>
    <w:p>
      <w:pPr>
        <w:overflowPunct w:val="0"/>
        <w:autoSpaceDE w:val="0"/>
        <w:ind w:firstLine="520" w:firstLineChars="186"/>
        <w:jc w:val="left"/>
        <w:rPr>
          <w:rFonts w:hint="eastAsia" w:ascii="仿宋_GB2312" w:hAnsi="宋体" w:eastAsia="仿宋_GB2312"/>
          <w:color w:val="auto"/>
          <w:sz w:val="28"/>
          <w:szCs w:val="28"/>
          <w:highlight w:val="none"/>
          <w:lang w:val="en-US" w:eastAsia="zh-CN"/>
        </w:rPr>
      </w:pPr>
      <w:r>
        <w:rPr>
          <w:rFonts w:hint="eastAsia" w:ascii="仿宋_GB2312" w:hAnsi="宋体" w:eastAsia="仿宋_GB2312"/>
          <w:color w:val="auto"/>
          <w:sz w:val="28"/>
          <w:szCs w:val="28"/>
          <w:highlight w:val="none"/>
          <w:lang w:val="en-US" w:eastAsia="zh-CN"/>
        </w:rPr>
        <w:t>4.1.2 命名</w:t>
      </w:r>
    </w:p>
    <w:p>
      <w:pPr>
        <w:overflowPunct w:val="0"/>
        <w:autoSpaceDE w:val="0"/>
        <w:ind w:firstLine="520" w:firstLineChars="186"/>
        <w:jc w:val="left"/>
        <w:rPr>
          <w:rFonts w:hint="eastAsia" w:ascii="仿宋_GB2312" w:hAnsi="宋体" w:eastAsia="仿宋_GB2312"/>
          <w:color w:val="auto"/>
          <w:sz w:val="28"/>
          <w:szCs w:val="28"/>
          <w:highlight w:val="none"/>
          <w:lang w:val="en-US" w:eastAsia="zh-CN"/>
        </w:rPr>
      </w:pPr>
      <w:r>
        <w:rPr>
          <w:rFonts w:hint="default" w:ascii="仿宋_GB2312" w:hAnsi="宋体" w:eastAsia="仿宋_GB2312"/>
          <w:color w:val="auto"/>
          <w:sz w:val="28"/>
          <w:szCs w:val="28"/>
          <w:highlight w:val="none"/>
          <w:lang w:val="en-US" w:eastAsia="zh-CN"/>
        </w:rPr>
        <w:t>甲方</w:t>
      </w:r>
      <w:r>
        <w:rPr>
          <w:rFonts w:hint="eastAsia" w:ascii="仿宋_GB2312" w:hAnsi="宋体" w:eastAsia="仿宋_GB2312"/>
          <w:color w:val="auto"/>
          <w:sz w:val="28"/>
          <w:szCs w:val="28"/>
          <w:highlight w:val="none"/>
          <w:lang w:val="en-US" w:eastAsia="zh-CN"/>
        </w:rPr>
        <w:t>授予</w:t>
      </w:r>
      <w:r>
        <w:rPr>
          <w:rFonts w:hint="default" w:ascii="仿宋_GB2312" w:hAnsi="宋体" w:eastAsia="仿宋_GB2312"/>
          <w:color w:val="auto"/>
          <w:sz w:val="28"/>
          <w:szCs w:val="28"/>
          <w:highlight w:val="none"/>
          <w:lang w:val="en-US" w:eastAsia="zh-CN"/>
        </w:rPr>
        <w:t>乙方</w:t>
      </w:r>
      <w:r>
        <w:rPr>
          <w:rFonts w:hint="eastAsia" w:ascii="仿宋_GB2312" w:hAnsi="宋体" w:eastAsia="仿宋_GB2312"/>
          <w:color w:val="auto"/>
          <w:sz w:val="28"/>
          <w:szCs w:val="28"/>
          <w:highlight w:val="none"/>
          <w:lang w:val="en-US" w:eastAsia="zh-CN"/>
        </w:rPr>
        <w:t>在经营准备期、租赁期限、租赁经营范围内物业空间的命名权利（名称须经由</w:t>
      </w:r>
      <w:r>
        <w:rPr>
          <w:rFonts w:hint="default" w:ascii="仿宋_GB2312" w:hAnsi="宋体" w:eastAsia="仿宋_GB2312"/>
          <w:color w:val="auto"/>
          <w:sz w:val="28"/>
          <w:szCs w:val="28"/>
          <w:highlight w:val="none"/>
          <w:lang w:val="en-US" w:eastAsia="zh-CN"/>
        </w:rPr>
        <w:t>甲方</w:t>
      </w:r>
      <w:r>
        <w:rPr>
          <w:rFonts w:hint="eastAsia" w:ascii="仿宋_GB2312" w:hAnsi="宋体" w:eastAsia="仿宋_GB2312"/>
          <w:color w:val="auto"/>
          <w:sz w:val="28"/>
          <w:szCs w:val="28"/>
          <w:highlight w:val="none"/>
          <w:lang w:val="en-US" w:eastAsia="zh-CN"/>
        </w:rPr>
        <w:t>书面审核批准）。</w:t>
      </w:r>
    </w:p>
    <w:p>
      <w:pPr>
        <w:overflowPunct w:val="0"/>
        <w:autoSpaceDE w:val="0"/>
        <w:ind w:firstLine="520" w:firstLineChars="186"/>
        <w:jc w:val="left"/>
        <w:rPr>
          <w:rFonts w:hint="eastAsia" w:ascii="仿宋_GB2312" w:hAnsi="宋体" w:eastAsia="仿宋_GB2312"/>
          <w:color w:val="auto"/>
          <w:sz w:val="28"/>
          <w:szCs w:val="28"/>
          <w:highlight w:val="none"/>
          <w:lang w:val="en-US" w:eastAsia="zh-CN"/>
        </w:rPr>
      </w:pPr>
      <w:r>
        <w:rPr>
          <w:rFonts w:hint="eastAsia" w:ascii="仿宋_GB2312" w:hAnsi="宋体" w:eastAsia="仿宋_GB2312"/>
          <w:color w:val="auto"/>
          <w:sz w:val="28"/>
          <w:szCs w:val="28"/>
          <w:highlight w:val="none"/>
          <w:lang w:val="en-US" w:eastAsia="zh-CN"/>
        </w:rPr>
        <w:t>4.1.3 广告资源设置</w:t>
      </w:r>
    </w:p>
    <w:p>
      <w:pPr>
        <w:overflowPunct w:val="0"/>
        <w:autoSpaceDE w:val="0"/>
        <w:ind w:firstLine="520" w:firstLineChars="186"/>
        <w:jc w:val="left"/>
        <w:rPr>
          <w:rFonts w:hint="eastAsia" w:ascii="仿宋_GB2312" w:hAnsi="宋体" w:eastAsia="仿宋_GB2312"/>
          <w:color w:val="auto"/>
          <w:sz w:val="28"/>
          <w:szCs w:val="28"/>
          <w:highlight w:val="none"/>
          <w:lang w:val="en-US" w:eastAsia="zh-CN"/>
        </w:rPr>
      </w:pPr>
      <w:r>
        <w:rPr>
          <w:rFonts w:hint="eastAsia" w:ascii="仿宋_GB2312" w:hAnsi="宋体" w:eastAsia="仿宋_GB2312"/>
          <w:color w:val="auto"/>
          <w:sz w:val="28"/>
          <w:szCs w:val="28"/>
          <w:highlight w:val="none"/>
          <w:lang w:val="en-US" w:eastAsia="zh-CN"/>
        </w:rPr>
        <w:t>（1）甲方</w:t>
      </w:r>
      <w:r>
        <w:rPr>
          <w:rFonts w:hint="default" w:ascii="仿宋_GB2312" w:hAnsi="宋体" w:eastAsia="仿宋_GB2312"/>
          <w:color w:val="auto"/>
          <w:sz w:val="28"/>
          <w:szCs w:val="28"/>
          <w:highlight w:val="none"/>
          <w:lang w:val="en-US" w:eastAsia="zh-CN"/>
        </w:rPr>
        <w:t>授予</w:t>
      </w:r>
      <w:r>
        <w:rPr>
          <w:rFonts w:hint="eastAsia" w:ascii="仿宋_GB2312" w:hAnsi="宋体" w:eastAsia="仿宋_GB2312"/>
          <w:color w:val="auto"/>
          <w:sz w:val="28"/>
          <w:szCs w:val="28"/>
          <w:highlight w:val="none"/>
          <w:lang w:val="en-US" w:eastAsia="zh-CN"/>
        </w:rPr>
        <w:t>乙方</w:t>
      </w:r>
      <w:r>
        <w:rPr>
          <w:rFonts w:hint="default" w:ascii="仿宋_GB2312" w:hAnsi="宋体" w:eastAsia="仿宋_GB2312"/>
          <w:color w:val="auto"/>
          <w:sz w:val="28"/>
          <w:szCs w:val="28"/>
          <w:highlight w:val="none"/>
          <w:lang w:val="en-US" w:eastAsia="zh-CN"/>
        </w:rPr>
        <w:t>在经营准备期、租赁期限、租赁经营范围内进行广告资源设置和开发</w:t>
      </w:r>
      <w:r>
        <w:rPr>
          <w:rFonts w:hint="eastAsia" w:ascii="仿宋_GB2312" w:hAnsi="宋体" w:eastAsia="仿宋_GB2312"/>
          <w:color w:val="auto"/>
          <w:sz w:val="28"/>
          <w:szCs w:val="28"/>
          <w:highlight w:val="none"/>
          <w:lang w:val="en-US" w:eastAsia="zh-CN"/>
        </w:rPr>
        <w:t>使用权</w:t>
      </w:r>
      <w:r>
        <w:rPr>
          <w:rFonts w:hint="default" w:ascii="仿宋_GB2312" w:hAnsi="宋体" w:eastAsia="仿宋_GB2312"/>
          <w:color w:val="auto"/>
          <w:sz w:val="28"/>
          <w:szCs w:val="28"/>
          <w:highlight w:val="none"/>
          <w:lang w:val="en-US" w:eastAsia="zh-CN"/>
        </w:rPr>
        <w:t>利,</w:t>
      </w:r>
      <w:r>
        <w:rPr>
          <w:rFonts w:hint="eastAsia" w:ascii="仿宋_GB2312" w:hAnsi="宋体" w:eastAsia="仿宋_GB2312"/>
          <w:color w:val="auto"/>
          <w:sz w:val="28"/>
          <w:szCs w:val="28"/>
          <w:highlight w:val="none"/>
          <w:lang w:val="en-US" w:eastAsia="zh-CN"/>
        </w:rPr>
        <w:t>广告</w:t>
      </w:r>
      <w:r>
        <w:rPr>
          <w:rFonts w:hint="default" w:ascii="仿宋_GB2312" w:hAnsi="宋体" w:eastAsia="仿宋_GB2312"/>
          <w:color w:val="auto"/>
          <w:sz w:val="28"/>
          <w:szCs w:val="28"/>
          <w:highlight w:val="none"/>
          <w:lang w:val="en-US" w:eastAsia="zh-CN"/>
        </w:rPr>
        <w:t>发布内容仅限于涉及该物业空间商户经营产品或商户相关推广信息。</w:t>
      </w:r>
    </w:p>
    <w:p>
      <w:pPr>
        <w:overflowPunct w:val="0"/>
        <w:autoSpaceDE w:val="0"/>
        <w:ind w:firstLine="520" w:firstLineChars="186"/>
        <w:jc w:val="left"/>
        <w:rPr>
          <w:rFonts w:hint="default" w:ascii="仿宋_GB2312" w:hAnsi="宋体" w:eastAsia="仿宋_GB2312"/>
          <w:color w:val="auto"/>
          <w:sz w:val="28"/>
          <w:szCs w:val="28"/>
          <w:highlight w:val="none"/>
          <w:lang w:val="en-US" w:eastAsia="zh-CN"/>
        </w:rPr>
      </w:pPr>
      <w:r>
        <w:rPr>
          <w:rFonts w:hint="eastAsia" w:ascii="仿宋_GB2312" w:hAnsi="宋体" w:eastAsia="仿宋_GB2312"/>
          <w:color w:val="auto"/>
          <w:sz w:val="28"/>
          <w:szCs w:val="28"/>
          <w:highlight w:val="none"/>
          <w:lang w:val="en-US" w:eastAsia="zh-CN"/>
        </w:rPr>
        <w:t>（2）</w:t>
      </w:r>
      <w:r>
        <w:rPr>
          <w:rFonts w:hint="default" w:ascii="仿宋_GB2312" w:hAnsi="宋体" w:eastAsia="仿宋_GB2312"/>
          <w:color w:val="auto"/>
          <w:sz w:val="28"/>
          <w:szCs w:val="28"/>
          <w:highlight w:val="none"/>
          <w:lang w:val="en-US" w:eastAsia="zh-CN"/>
        </w:rPr>
        <w:t>乙方在日常经营过程中须根据甲方要求按租赁合同项下各类广告媒体资源总量30%的比例发布甲方所需的非商业广告，并承担发布</w:t>
      </w:r>
      <w:r>
        <w:rPr>
          <w:rFonts w:hint="eastAsia" w:ascii="仿宋_GB2312" w:hAnsi="宋体" w:eastAsia="仿宋_GB2312"/>
          <w:color w:val="auto"/>
          <w:sz w:val="28"/>
          <w:szCs w:val="28"/>
          <w:highlight w:val="none"/>
          <w:lang w:val="en-US" w:eastAsia="zh-CN"/>
        </w:rPr>
        <w:t>所涉及的</w:t>
      </w:r>
      <w:r>
        <w:rPr>
          <w:rFonts w:hint="default" w:ascii="仿宋_GB2312" w:hAnsi="宋体" w:eastAsia="仿宋_GB2312"/>
          <w:color w:val="auto"/>
          <w:sz w:val="28"/>
          <w:szCs w:val="28"/>
          <w:highlight w:val="none"/>
          <w:lang w:val="en-US" w:eastAsia="zh-CN"/>
        </w:rPr>
        <w:t>全部工作</w:t>
      </w:r>
      <w:r>
        <w:rPr>
          <w:rFonts w:hint="eastAsia" w:ascii="仿宋_GB2312" w:hAnsi="宋体" w:eastAsia="仿宋_GB2312"/>
          <w:color w:val="auto"/>
          <w:sz w:val="28"/>
          <w:szCs w:val="28"/>
          <w:highlight w:val="none"/>
          <w:lang w:val="en-US" w:eastAsia="zh-CN"/>
        </w:rPr>
        <w:t>及</w:t>
      </w:r>
      <w:r>
        <w:rPr>
          <w:rFonts w:hint="default" w:ascii="仿宋_GB2312" w:hAnsi="宋体" w:eastAsia="仿宋_GB2312"/>
          <w:color w:val="auto"/>
          <w:sz w:val="28"/>
          <w:szCs w:val="28"/>
          <w:highlight w:val="none"/>
          <w:lang w:val="en-US" w:eastAsia="zh-CN"/>
        </w:rPr>
        <w:t>费用。由乙方负责发布的关于</w:t>
      </w:r>
      <w:r>
        <w:rPr>
          <w:rFonts w:hint="eastAsia" w:ascii="仿宋_GB2312" w:hAnsi="宋体" w:eastAsia="仿宋_GB2312"/>
          <w:color w:val="auto"/>
          <w:sz w:val="28"/>
          <w:szCs w:val="28"/>
          <w:highlight w:val="none"/>
          <w:lang w:val="en-US" w:eastAsia="zh-CN"/>
        </w:rPr>
        <w:t>甲方</w:t>
      </w:r>
      <w:r>
        <w:rPr>
          <w:rFonts w:hint="default" w:ascii="仿宋_GB2312" w:hAnsi="宋体" w:eastAsia="仿宋_GB2312"/>
          <w:color w:val="auto"/>
          <w:sz w:val="28"/>
          <w:szCs w:val="28"/>
          <w:highlight w:val="none"/>
          <w:lang w:val="en-US" w:eastAsia="zh-CN"/>
        </w:rPr>
        <w:t>的相关信息、公益广告、政府部门安排的宣传内容，须经甲方审核同意后方可实施。</w:t>
      </w:r>
    </w:p>
    <w:p>
      <w:pPr>
        <w:ind w:right="-552" w:rightChars="-230" w:firstLine="481" w:firstLineChars="171"/>
        <w:rPr>
          <w:rFonts w:ascii="黑体" w:hAnsi="黑体" w:eastAsia="黑体" w:cs="黑体"/>
          <w:b/>
          <w:color w:val="auto"/>
          <w:sz w:val="28"/>
          <w:szCs w:val="28"/>
          <w:highlight w:val="none"/>
        </w:rPr>
      </w:pPr>
      <w:r>
        <w:rPr>
          <w:rFonts w:hint="eastAsia" w:ascii="黑体" w:hAnsi="黑体" w:eastAsia="黑体" w:cs="黑体"/>
          <w:b/>
          <w:color w:val="auto"/>
          <w:sz w:val="28"/>
          <w:szCs w:val="28"/>
          <w:highlight w:val="none"/>
        </w:rPr>
        <w:t>第五条</w:t>
      </w:r>
      <w:r>
        <w:rPr>
          <w:rFonts w:ascii="黑体" w:hAnsi="黑体" w:eastAsia="黑体" w:cs="黑体"/>
          <w:b/>
          <w:color w:val="auto"/>
          <w:sz w:val="28"/>
          <w:szCs w:val="28"/>
          <w:highlight w:val="none"/>
        </w:rPr>
        <w:t xml:space="preserve"> </w:t>
      </w:r>
      <w:r>
        <w:rPr>
          <w:rFonts w:hint="eastAsia" w:ascii="黑体" w:hAnsi="黑体" w:eastAsia="黑体" w:cs="黑体"/>
          <w:b/>
          <w:color w:val="auto"/>
          <w:sz w:val="28"/>
          <w:szCs w:val="28"/>
          <w:highlight w:val="none"/>
        </w:rPr>
        <w:t>租赁期限、交付、经营准备期</w:t>
      </w:r>
    </w:p>
    <w:p>
      <w:pPr>
        <w:overflowPunct w:val="0"/>
        <w:autoSpaceDE w:val="0"/>
        <w:ind w:firstLine="478" w:firstLineChars="171"/>
        <w:rPr>
          <w:rFonts w:ascii="仿宋_GB2312" w:hAnsi="仿宋_GB2312" w:eastAsia="仿宋_GB2312" w:cs="仿宋_GB2312"/>
          <w:color w:val="auto"/>
          <w:sz w:val="28"/>
          <w:szCs w:val="28"/>
          <w:highlight w:val="none"/>
        </w:rPr>
      </w:pPr>
      <w:r>
        <w:rPr>
          <w:rFonts w:ascii="仿宋_GB2312" w:hAnsi="仿宋_GB2312" w:eastAsia="仿宋_GB2312" w:cs="仿宋_GB2312"/>
          <w:color w:val="auto"/>
          <w:sz w:val="28"/>
          <w:szCs w:val="28"/>
          <w:highlight w:val="none"/>
        </w:rPr>
        <w:t>5.1</w:t>
      </w:r>
      <w:r>
        <w:rPr>
          <w:rFonts w:hint="eastAsia" w:ascii="仿宋_GB2312" w:hAnsi="仿宋_GB2312" w:eastAsia="仿宋_GB2312" w:cs="仿宋_GB2312"/>
          <w:color w:val="auto"/>
          <w:sz w:val="28"/>
          <w:szCs w:val="28"/>
          <w:highlight w:val="none"/>
        </w:rPr>
        <w:t xml:space="preserve"> 租赁期限</w:t>
      </w:r>
    </w:p>
    <w:p>
      <w:pPr>
        <w:pStyle w:val="31"/>
        <w:autoSpaceDE w:val="0"/>
        <w:autoSpaceDN w:val="0"/>
        <w:adjustRightInd w:val="0"/>
        <w:spacing w:line="360" w:lineRule="auto"/>
        <w:ind w:firstLine="478" w:firstLineChars="171"/>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lang w:val="en-US" w:eastAsia="zh-CN"/>
        </w:rPr>
        <w:t>5.1.</w:t>
      </w:r>
      <w:r>
        <w:rPr>
          <w:rFonts w:hint="eastAsia" w:ascii="仿宋_GB2312" w:hAnsi="仿宋_GB2312" w:eastAsia="仿宋_GB2312" w:cs="仿宋_GB2312"/>
          <w:color w:val="auto"/>
          <w:kern w:val="0"/>
          <w:sz w:val="28"/>
          <w:szCs w:val="28"/>
          <w:highlight w:val="none"/>
          <w:lang w:eastAsia="zh-CN"/>
        </w:rPr>
        <w:t>1</w:t>
      </w:r>
      <w:r>
        <w:rPr>
          <w:rFonts w:hint="eastAsia" w:ascii="仿宋_GB2312" w:hAnsi="仿宋_GB2312" w:eastAsia="仿宋_GB2312" w:cs="仿宋_GB2312"/>
          <w:color w:val="auto"/>
          <w:kern w:val="0"/>
          <w:sz w:val="28"/>
          <w:szCs w:val="28"/>
          <w:highlight w:val="none"/>
          <w:lang w:val="en-US" w:eastAsia="zh-CN"/>
        </w:rPr>
        <w:t xml:space="preserve"> </w:t>
      </w:r>
      <w:r>
        <w:rPr>
          <w:rFonts w:hint="eastAsia" w:ascii="仿宋_GB2312" w:hAnsi="仿宋_GB2312" w:eastAsia="仿宋_GB2312" w:cs="仿宋_GB2312"/>
          <w:color w:val="auto"/>
          <w:kern w:val="0"/>
          <w:sz w:val="28"/>
          <w:szCs w:val="28"/>
          <w:highlight w:val="none"/>
        </w:rPr>
        <w:t>租赁期限为10年，租赁期限自</w:t>
      </w:r>
      <w:r>
        <w:rPr>
          <w:rFonts w:hint="eastAsia" w:ascii="仿宋_GB2312" w:hAnsi="仿宋_GB2312" w:eastAsia="仿宋_GB2312" w:cs="仿宋_GB2312"/>
          <w:color w:val="auto"/>
          <w:kern w:val="0"/>
          <w:sz w:val="28"/>
          <w:szCs w:val="28"/>
          <w:highlight w:val="none"/>
          <w:lang w:eastAsia="zh-CN"/>
        </w:rPr>
        <w:t>物业空间</w:t>
      </w:r>
      <w:r>
        <w:rPr>
          <w:rFonts w:hint="eastAsia" w:ascii="仿宋_GB2312" w:hAnsi="仿宋_GB2312" w:eastAsia="仿宋_GB2312" w:cs="仿宋_GB2312"/>
          <w:color w:val="auto"/>
          <w:kern w:val="0"/>
          <w:sz w:val="28"/>
          <w:szCs w:val="28"/>
          <w:highlight w:val="none"/>
        </w:rPr>
        <w:t>起租日</w:t>
      </w:r>
      <w:r>
        <w:rPr>
          <w:rFonts w:hint="eastAsia" w:ascii="仿宋_GB2312" w:hAnsi="仿宋_GB2312" w:eastAsia="仿宋_GB2312" w:cs="仿宋_GB2312"/>
          <w:color w:val="auto"/>
          <w:kern w:val="0"/>
          <w:sz w:val="28"/>
          <w:szCs w:val="28"/>
          <w:highlight w:val="none"/>
          <w:lang w:eastAsia="zh-CN"/>
        </w:rPr>
        <w:t>（即经营准备期满后的</w:t>
      </w:r>
      <w:r>
        <w:rPr>
          <w:rFonts w:hint="eastAsia" w:ascii="仿宋_GB2312" w:hAnsi="仿宋_GB2312" w:eastAsia="仿宋_GB2312" w:cs="仿宋_GB2312"/>
          <w:color w:val="auto"/>
          <w:kern w:val="0"/>
          <w:sz w:val="28"/>
          <w:szCs w:val="28"/>
          <w:highlight w:val="none"/>
          <w:lang w:val="en-US" w:eastAsia="zh-CN"/>
        </w:rPr>
        <w:t>次日</w:t>
      </w:r>
      <w:r>
        <w:rPr>
          <w:rFonts w:hint="eastAsia" w:ascii="仿宋_GB2312" w:hAnsi="仿宋_GB2312" w:eastAsia="仿宋_GB2312" w:cs="仿宋_GB2312"/>
          <w:color w:val="auto"/>
          <w:kern w:val="0"/>
          <w:sz w:val="28"/>
          <w:szCs w:val="28"/>
          <w:highlight w:val="none"/>
          <w:lang w:eastAsia="zh-CN"/>
        </w:rPr>
        <w:t>）</w:t>
      </w:r>
      <w:r>
        <w:rPr>
          <w:rFonts w:hint="eastAsia" w:ascii="仿宋_GB2312" w:hAnsi="仿宋_GB2312" w:eastAsia="仿宋_GB2312" w:cs="仿宋_GB2312"/>
          <w:color w:val="auto"/>
          <w:kern w:val="0"/>
          <w:sz w:val="28"/>
          <w:szCs w:val="28"/>
          <w:highlight w:val="none"/>
        </w:rPr>
        <w:t>起开始计算。</w:t>
      </w:r>
    </w:p>
    <w:p>
      <w:pPr>
        <w:pStyle w:val="31"/>
        <w:spacing w:line="360" w:lineRule="auto"/>
        <w:ind w:firstLine="478" w:firstLineChars="171"/>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lang w:val="en-US" w:eastAsia="zh-CN" w:bidi="ar"/>
        </w:rPr>
        <w:t>5.1.</w:t>
      </w:r>
      <w:r>
        <w:rPr>
          <w:rFonts w:hint="eastAsia" w:ascii="仿宋_GB2312" w:hAnsi="仿宋_GB2312" w:eastAsia="仿宋_GB2312" w:cs="仿宋_GB2312"/>
          <w:color w:val="auto"/>
          <w:kern w:val="0"/>
          <w:sz w:val="28"/>
          <w:szCs w:val="28"/>
          <w:highlight w:val="none"/>
          <w:lang w:eastAsia="zh-CN" w:bidi="ar"/>
        </w:rPr>
        <w:t>2</w:t>
      </w:r>
      <w:r>
        <w:rPr>
          <w:rFonts w:hint="eastAsia" w:ascii="仿宋_GB2312" w:hAnsi="仿宋_GB2312" w:eastAsia="仿宋_GB2312" w:cs="仿宋_GB2312"/>
          <w:color w:val="auto"/>
          <w:kern w:val="0"/>
          <w:sz w:val="28"/>
          <w:szCs w:val="28"/>
          <w:highlight w:val="none"/>
          <w:lang w:val="en-US" w:eastAsia="zh-CN" w:bidi="ar"/>
        </w:rPr>
        <w:t xml:space="preserve"> </w:t>
      </w:r>
      <w:r>
        <w:rPr>
          <w:rFonts w:hint="eastAsia" w:ascii="仿宋_GB2312" w:hAnsi="仿宋_GB2312" w:eastAsia="仿宋_GB2312" w:cs="仿宋_GB2312"/>
          <w:color w:val="auto"/>
          <w:kern w:val="0"/>
          <w:sz w:val="28"/>
          <w:szCs w:val="28"/>
          <w:highlight w:val="none"/>
          <w:lang w:val="en-US" w:eastAsia="zh-CN"/>
        </w:rPr>
        <w:t>如物业空间合同签订之日起1年内由于不确定因素导致各物业空间无法正常交付的，双方可根据事实情况另行协商确定物业空间的交付日期，如协商不成，租赁合同自行解除，预付的租金和履约保证金予以无息退还。</w:t>
      </w:r>
    </w:p>
    <w:p>
      <w:pPr>
        <w:spacing w:line="360" w:lineRule="auto"/>
        <w:ind w:firstLine="478" w:firstLineChars="171"/>
        <w:rPr>
          <w:rFonts w:ascii="仿宋_GB2312" w:hAnsi="仿宋_GB2312" w:eastAsia="仿宋_GB2312" w:cs="仿宋_GB2312"/>
          <w:color w:val="auto"/>
          <w:sz w:val="28"/>
          <w:szCs w:val="28"/>
          <w:highlight w:val="none"/>
        </w:rPr>
      </w:pPr>
      <w:r>
        <w:rPr>
          <w:rFonts w:ascii="仿宋_GB2312" w:hAnsi="仿宋_GB2312" w:eastAsia="仿宋_GB2312" w:cs="仿宋_GB2312"/>
          <w:color w:val="auto"/>
          <w:sz w:val="28"/>
          <w:szCs w:val="28"/>
          <w:highlight w:val="none"/>
        </w:rPr>
        <w:t>5.2</w:t>
      </w:r>
      <w:r>
        <w:rPr>
          <w:rFonts w:hint="eastAsia" w:ascii="仿宋_GB2312" w:hAnsi="仿宋_GB2312" w:eastAsia="仿宋_GB2312" w:cs="仿宋_GB2312"/>
          <w:color w:val="auto"/>
          <w:sz w:val="28"/>
          <w:szCs w:val="28"/>
          <w:highlight w:val="none"/>
        </w:rPr>
        <w:t xml:space="preserve"> 交付</w:t>
      </w:r>
    </w:p>
    <w:p>
      <w:pPr>
        <w:overflowPunct w:val="0"/>
        <w:autoSpaceDE w:val="0"/>
        <w:spacing w:line="360" w:lineRule="auto"/>
        <w:ind w:firstLine="478" w:firstLineChars="171"/>
        <w:rPr>
          <w:rFonts w:hint="default" w:ascii="仿宋_GB2312" w:hAnsi="仿宋_GB2312" w:eastAsia="仿宋_GB2312" w:cs="仿宋_GB2312"/>
          <w:color w:val="auto"/>
          <w:kern w:val="0"/>
          <w:sz w:val="28"/>
          <w:szCs w:val="28"/>
          <w:highlight w:val="none"/>
          <w:lang w:val="en-US" w:eastAsia="zh-CN"/>
        </w:rPr>
      </w:pPr>
      <w:r>
        <w:rPr>
          <w:rFonts w:ascii="仿宋_GB2312" w:hAnsi="仿宋_GB2312" w:eastAsia="仿宋_GB2312" w:cs="仿宋_GB2312"/>
          <w:color w:val="auto"/>
          <w:sz w:val="28"/>
          <w:szCs w:val="28"/>
          <w:highlight w:val="none"/>
        </w:rPr>
        <w:t>5.2.1</w:t>
      </w:r>
      <w:r>
        <w:rPr>
          <w:rFonts w:hint="eastAsia" w:ascii="仿宋_GB2312" w:hAnsi="仿宋_GB2312" w:eastAsia="仿宋_GB2312" w:cs="仿宋_GB2312"/>
          <w:color w:val="auto"/>
          <w:sz w:val="28"/>
          <w:szCs w:val="28"/>
          <w:highlight w:val="none"/>
        </w:rPr>
        <w:t xml:space="preserve"> </w:t>
      </w:r>
      <w:r>
        <w:rPr>
          <w:rFonts w:hint="default" w:ascii="仿宋_GB2312" w:hAnsi="宋体" w:eastAsia="仿宋_GB2312"/>
          <w:color w:val="auto"/>
          <w:sz w:val="28"/>
          <w:szCs w:val="28"/>
          <w:highlight w:val="none"/>
          <w:lang w:val="en-US" w:eastAsia="zh-CN"/>
        </w:rPr>
        <w:t>出租标的</w:t>
      </w:r>
      <w:r>
        <w:rPr>
          <w:rFonts w:hint="eastAsia" w:ascii="仿宋_GB2312" w:hAnsi="宋体" w:eastAsia="仿宋_GB2312"/>
          <w:color w:val="auto"/>
          <w:sz w:val="28"/>
          <w:szCs w:val="28"/>
          <w:highlight w:val="none"/>
          <w:lang w:val="en-US" w:eastAsia="zh-CN"/>
        </w:rPr>
        <w:t>以现状进行</w:t>
      </w:r>
      <w:r>
        <w:rPr>
          <w:rFonts w:hint="default" w:ascii="仿宋_GB2312" w:hAnsi="宋体" w:eastAsia="仿宋_GB2312"/>
          <w:color w:val="auto"/>
          <w:sz w:val="28"/>
          <w:szCs w:val="28"/>
          <w:highlight w:val="none"/>
          <w:lang w:val="en-US" w:eastAsia="zh-CN"/>
        </w:rPr>
        <w:t>移交。</w:t>
      </w:r>
      <w:r>
        <w:rPr>
          <w:rFonts w:ascii="仿宋_GB2312" w:hAnsi="仿宋_GB2312" w:eastAsia="仿宋_GB2312" w:cs="仿宋_GB2312"/>
          <w:color w:val="auto"/>
          <w:sz w:val="28"/>
          <w:szCs w:val="28"/>
          <w:highlight w:val="none"/>
        </w:rPr>
        <w:t>本合同生效后</w:t>
      </w:r>
      <w:r>
        <w:rPr>
          <w:rFonts w:hint="eastAsia" w:ascii="仿宋_GB2312" w:hAnsi="仿宋_GB2312" w:eastAsia="仿宋_GB2312" w:cs="仿宋_GB2312"/>
          <w:color w:val="auto"/>
          <w:kern w:val="0"/>
          <w:sz w:val="28"/>
          <w:szCs w:val="28"/>
          <w:highlight w:val="none"/>
        </w:rPr>
        <w:t>，</w:t>
      </w:r>
      <w:r>
        <w:rPr>
          <w:rFonts w:hint="default" w:ascii="仿宋_GB2312" w:hAnsi="仿宋_GB2312" w:eastAsia="仿宋_GB2312" w:cs="仿宋_GB2312"/>
          <w:color w:val="auto"/>
          <w:kern w:val="0"/>
          <w:sz w:val="28"/>
          <w:szCs w:val="28"/>
          <w:highlight w:val="none"/>
          <w:lang w:eastAsia="zh-CN"/>
        </w:rPr>
        <w:t>甲方</w:t>
      </w:r>
      <w:r>
        <w:rPr>
          <w:rFonts w:hint="eastAsia" w:ascii="仿宋_GB2312" w:hAnsi="仿宋_GB2312" w:eastAsia="仿宋_GB2312" w:cs="仿宋_GB2312"/>
          <w:color w:val="auto"/>
          <w:kern w:val="0"/>
          <w:sz w:val="28"/>
          <w:szCs w:val="28"/>
          <w:highlight w:val="none"/>
        </w:rPr>
        <w:t>与</w:t>
      </w:r>
      <w:r>
        <w:rPr>
          <w:rFonts w:hint="default" w:ascii="仿宋_GB2312" w:hAnsi="仿宋_GB2312" w:eastAsia="仿宋_GB2312" w:cs="仿宋_GB2312"/>
          <w:color w:val="auto"/>
          <w:kern w:val="0"/>
          <w:sz w:val="28"/>
          <w:szCs w:val="28"/>
          <w:highlight w:val="none"/>
          <w:lang w:eastAsia="zh-CN"/>
        </w:rPr>
        <w:t>乙方</w:t>
      </w:r>
      <w:r>
        <w:rPr>
          <w:rFonts w:hint="default" w:ascii="仿宋_GB2312" w:hAnsi="仿宋_GB2312" w:eastAsia="仿宋_GB2312" w:cs="仿宋_GB2312"/>
          <w:color w:val="auto"/>
          <w:kern w:val="0"/>
          <w:sz w:val="28"/>
          <w:szCs w:val="28"/>
          <w:highlight w:val="none"/>
          <w:lang w:val="en-US" w:eastAsia="zh-CN"/>
        </w:rPr>
        <w:t>办理书面移交手续，自交付之日计算经营准备期</w:t>
      </w:r>
      <w:r>
        <w:rPr>
          <w:rFonts w:hint="eastAsia" w:ascii="仿宋_GB2312" w:hAnsi="仿宋_GB2312" w:eastAsia="仿宋_GB2312" w:cs="仿宋_GB2312"/>
          <w:color w:val="auto"/>
          <w:kern w:val="0"/>
          <w:sz w:val="28"/>
          <w:szCs w:val="28"/>
          <w:highlight w:val="none"/>
        </w:rPr>
        <w:t>。如</w:t>
      </w:r>
      <w:r>
        <w:rPr>
          <w:rFonts w:hint="eastAsia" w:ascii="仿宋_GB2312" w:hAnsi="仿宋_GB2312" w:eastAsia="仿宋_GB2312" w:cs="仿宋_GB2312"/>
          <w:color w:val="auto"/>
          <w:kern w:val="0"/>
          <w:sz w:val="28"/>
          <w:szCs w:val="28"/>
          <w:highlight w:val="none"/>
          <w:lang w:val="en-US" w:eastAsia="zh-CN"/>
        </w:rPr>
        <w:t>交付时的现状与预留措施表存在差异的，以交付时的现状为准。</w:t>
      </w:r>
    </w:p>
    <w:p>
      <w:pPr>
        <w:overflowPunct w:val="0"/>
        <w:autoSpaceDE w:val="0"/>
        <w:spacing w:line="360" w:lineRule="auto"/>
        <w:ind w:firstLine="478" w:firstLineChars="171"/>
        <w:rPr>
          <w:rFonts w:hint="eastAsia" w:ascii="仿宋_GB2312" w:hAnsi="仿宋_GB2312" w:eastAsia="仿宋_GB2312" w:cs="仿宋_GB2312"/>
          <w:color w:val="auto"/>
          <w:kern w:val="0"/>
          <w:sz w:val="28"/>
          <w:szCs w:val="28"/>
          <w:highlight w:val="none"/>
          <w:lang w:val="en-US" w:eastAsia="zh-CN"/>
        </w:rPr>
      </w:pPr>
      <w:r>
        <w:rPr>
          <w:rFonts w:hint="default" w:ascii="仿宋_GB2312" w:hAnsi="仿宋_GB2312" w:eastAsia="仿宋_GB2312" w:cs="仿宋_GB2312"/>
          <w:color w:val="auto"/>
          <w:kern w:val="0"/>
          <w:sz w:val="28"/>
          <w:szCs w:val="28"/>
          <w:highlight w:val="none"/>
          <w:lang w:val="en-US" w:eastAsia="zh-CN"/>
        </w:rPr>
        <w:t>5.2.2</w:t>
      </w:r>
      <w:r>
        <w:rPr>
          <w:rFonts w:hint="eastAsia" w:ascii="仿宋_GB2312" w:hAnsi="仿宋_GB2312" w:eastAsia="仿宋_GB2312" w:cs="仿宋_GB2312"/>
          <w:color w:val="auto"/>
          <w:kern w:val="0"/>
          <w:sz w:val="28"/>
          <w:szCs w:val="28"/>
          <w:highlight w:val="none"/>
          <w:lang w:val="en-US" w:eastAsia="zh-CN"/>
        </w:rPr>
        <w:t xml:space="preserve"> 甲方向乙方发出交付通知书，双方按照交付通知书载明的时间和地点办理交付手续，自交付之日开始计算经营准备期；如因特殊情况导致无法交付，则由甲、乙双方另行协商交付时间。</w:t>
      </w:r>
    </w:p>
    <w:p>
      <w:pPr>
        <w:overflowPunct w:val="0"/>
        <w:autoSpaceDE w:val="0"/>
        <w:spacing w:line="360" w:lineRule="auto"/>
        <w:ind w:firstLine="478" w:firstLineChars="171"/>
        <w:rPr>
          <w:rFonts w:hint="default" w:ascii="仿宋_GB2312" w:hAnsi="仿宋_GB2312" w:eastAsia="仿宋_GB2312" w:cs="仿宋_GB2312"/>
          <w:color w:val="auto"/>
          <w:kern w:val="0"/>
          <w:sz w:val="28"/>
          <w:szCs w:val="28"/>
          <w:highlight w:val="none"/>
          <w:lang w:val="en-US" w:eastAsia="zh-CN"/>
        </w:rPr>
      </w:pPr>
      <w:r>
        <w:rPr>
          <w:rFonts w:hint="default" w:ascii="仿宋_GB2312" w:hAnsi="仿宋_GB2312" w:eastAsia="仿宋_GB2312" w:cs="仿宋_GB2312"/>
          <w:color w:val="auto"/>
          <w:kern w:val="0"/>
          <w:sz w:val="28"/>
          <w:szCs w:val="28"/>
          <w:highlight w:val="none"/>
          <w:lang w:val="en-US" w:eastAsia="zh-CN"/>
        </w:rPr>
        <w:t>5.2.</w:t>
      </w:r>
      <w:r>
        <w:rPr>
          <w:rFonts w:hint="eastAsia" w:ascii="仿宋_GB2312" w:hAnsi="仿宋_GB2312" w:eastAsia="仿宋_GB2312" w:cs="仿宋_GB2312"/>
          <w:color w:val="auto"/>
          <w:kern w:val="0"/>
          <w:sz w:val="28"/>
          <w:szCs w:val="28"/>
          <w:highlight w:val="none"/>
          <w:lang w:val="en-US" w:eastAsia="zh-CN"/>
        </w:rPr>
        <w:t>3 如乙方不按要求办理交付手续，交付之日以交付通知书载明的时间为准；自交付通知书载明的交付时间起30日，乙方仍未与甲方完善交付手续的，双方租赁合同自动解除且不退还已缴纳的履约保证金。</w:t>
      </w:r>
    </w:p>
    <w:p>
      <w:pPr>
        <w:overflowPunct w:val="0"/>
        <w:autoSpaceDE w:val="0"/>
        <w:ind w:firstLine="478" w:firstLineChars="171"/>
        <w:rPr>
          <w:rFonts w:ascii="仿宋_GB2312" w:hAnsi="仿宋_GB2312" w:eastAsia="仿宋_GB2312" w:cs="仿宋_GB2312"/>
          <w:color w:val="auto"/>
          <w:sz w:val="28"/>
          <w:szCs w:val="28"/>
          <w:highlight w:val="none"/>
        </w:rPr>
      </w:pPr>
      <w:r>
        <w:rPr>
          <w:rFonts w:ascii="仿宋_GB2312" w:hAnsi="仿宋_GB2312" w:eastAsia="仿宋_GB2312" w:cs="仿宋_GB2312"/>
          <w:color w:val="auto"/>
          <w:sz w:val="28"/>
          <w:szCs w:val="28"/>
          <w:highlight w:val="none"/>
        </w:rPr>
        <w:t xml:space="preserve">5.3 </w:t>
      </w:r>
      <w:r>
        <w:rPr>
          <w:rFonts w:hint="eastAsia" w:ascii="仿宋_GB2312" w:hAnsi="仿宋_GB2312" w:eastAsia="仿宋_GB2312" w:cs="仿宋_GB2312"/>
          <w:color w:val="auto"/>
          <w:kern w:val="0"/>
          <w:sz w:val="28"/>
          <w:szCs w:val="28"/>
          <w:highlight w:val="none"/>
        </w:rPr>
        <w:t>经营准备期为</w:t>
      </w:r>
      <w:r>
        <w:rPr>
          <w:rFonts w:ascii="仿宋_GB2312" w:hAnsi="仿宋_GB2312" w:eastAsia="仿宋_GB2312" w:cs="仿宋_GB2312"/>
          <w:color w:val="auto"/>
          <w:kern w:val="0"/>
          <w:sz w:val="28"/>
          <w:szCs w:val="28"/>
          <w:highlight w:val="none"/>
        </w:rPr>
        <w:t>9个月，自</w:t>
      </w:r>
      <w:r>
        <w:rPr>
          <w:rFonts w:hint="eastAsia" w:ascii="仿宋_GB2312" w:hAnsi="仿宋_GB2312" w:eastAsia="仿宋_GB2312" w:cs="仿宋_GB2312"/>
          <w:color w:val="auto"/>
          <w:kern w:val="0"/>
          <w:sz w:val="28"/>
          <w:szCs w:val="28"/>
          <w:highlight w:val="none"/>
          <w:lang w:eastAsia="zh-CN"/>
        </w:rPr>
        <w:t>物业空间</w:t>
      </w:r>
      <w:r>
        <w:rPr>
          <w:rFonts w:ascii="仿宋_GB2312" w:hAnsi="仿宋_GB2312" w:eastAsia="仿宋_GB2312" w:cs="仿宋_GB2312"/>
          <w:color w:val="auto"/>
          <w:kern w:val="0"/>
          <w:sz w:val="28"/>
          <w:szCs w:val="28"/>
          <w:highlight w:val="none"/>
        </w:rPr>
        <w:t>交付日起计算。</w:t>
      </w:r>
      <w:r>
        <w:rPr>
          <w:rFonts w:hint="eastAsia" w:ascii="仿宋_GB2312" w:hAnsi="仿宋_GB2312" w:eastAsia="仿宋_GB2312" w:cs="仿宋_GB2312"/>
          <w:color w:val="auto"/>
          <w:kern w:val="0"/>
          <w:sz w:val="28"/>
          <w:szCs w:val="28"/>
          <w:highlight w:val="none"/>
        </w:rPr>
        <w:t>经营准备期是指用于</w:t>
      </w:r>
      <w:r>
        <w:rPr>
          <w:rFonts w:hint="eastAsia" w:ascii="仿宋_GB2312" w:hAnsi="仿宋_GB2312" w:eastAsia="仿宋_GB2312" w:cs="仿宋_GB2312"/>
          <w:color w:val="auto"/>
          <w:kern w:val="0"/>
          <w:sz w:val="28"/>
          <w:szCs w:val="28"/>
          <w:highlight w:val="none"/>
          <w:lang w:eastAsia="zh-CN"/>
        </w:rPr>
        <w:t>乙方</w:t>
      </w:r>
      <w:r>
        <w:rPr>
          <w:rFonts w:hint="eastAsia" w:ascii="仿宋_GB2312" w:hAnsi="仿宋_GB2312" w:eastAsia="仿宋_GB2312" w:cs="仿宋_GB2312"/>
          <w:color w:val="auto"/>
          <w:kern w:val="0"/>
          <w:sz w:val="28"/>
          <w:szCs w:val="28"/>
          <w:highlight w:val="none"/>
        </w:rPr>
        <w:t>进行物业空间后续工程建设、装饰装修、设备设施安装，相关行政审批手续办理和经营筹备的时间。</w:t>
      </w:r>
      <w:r>
        <w:rPr>
          <w:rFonts w:ascii="仿宋_GB2312" w:hAnsi="仿宋_GB2312" w:eastAsia="仿宋_GB2312" w:cs="仿宋_GB2312"/>
          <w:color w:val="auto"/>
          <w:kern w:val="0"/>
          <w:sz w:val="28"/>
          <w:szCs w:val="28"/>
          <w:highlight w:val="none"/>
        </w:rPr>
        <w:t>经营准备期内不计算租金，但</w:t>
      </w:r>
      <w:r>
        <w:rPr>
          <w:rFonts w:hint="eastAsia" w:ascii="仿宋_GB2312" w:hAnsi="仿宋_GB2312" w:eastAsia="仿宋_GB2312" w:cs="仿宋_GB2312"/>
          <w:color w:val="auto"/>
          <w:kern w:val="0"/>
          <w:sz w:val="28"/>
          <w:szCs w:val="28"/>
          <w:highlight w:val="none"/>
          <w:lang w:val="en-US" w:eastAsia="zh-CN"/>
        </w:rPr>
        <w:t>乙方</w:t>
      </w:r>
      <w:r>
        <w:rPr>
          <w:rFonts w:ascii="仿宋_GB2312" w:hAnsi="仿宋_GB2312" w:eastAsia="仿宋_GB2312" w:cs="仿宋_GB2312"/>
          <w:color w:val="auto"/>
          <w:kern w:val="0"/>
          <w:sz w:val="28"/>
          <w:szCs w:val="28"/>
          <w:highlight w:val="none"/>
        </w:rPr>
        <w:t>须按规定承担经营准备期内的水费、电费、物管费和设备等因</w:t>
      </w:r>
      <w:r>
        <w:rPr>
          <w:rFonts w:hint="eastAsia" w:ascii="仿宋_GB2312" w:hAnsi="仿宋_GB2312" w:eastAsia="仿宋_GB2312" w:cs="仿宋_GB2312"/>
          <w:color w:val="auto"/>
          <w:kern w:val="0"/>
          <w:sz w:val="28"/>
          <w:szCs w:val="28"/>
          <w:highlight w:val="none"/>
          <w:lang w:val="en-US" w:eastAsia="zh-CN"/>
        </w:rPr>
        <w:t>其</w:t>
      </w:r>
      <w:r>
        <w:rPr>
          <w:rFonts w:ascii="仿宋_GB2312" w:hAnsi="仿宋_GB2312" w:eastAsia="仿宋_GB2312" w:cs="仿宋_GB2312"/>
          <w:color w:val="auto"/>
          <w:kern w:val="0"/>
          <w:sz w:val="28"/>
          <w:szCs w:val="28"/>
          <w:highlight w:val="none"/>
        </w:rPr>
        <w:t>使用而产生的一切费用</w:t>
      </w:r>
      <w:r>
        <w:rPr>
          <w:rFonts w:hint="eastAsia" w:ascii="仿宋_GB2312" w:hAnsi="仿宋_GB2312" w:eastAsia="仿宋_GB2312" w:cs="仿宋_GB2312"/>
          <w:color w:val="auto"/>
          <w:sz w:val="28"/>
          <w:szCs w:val="28"/>
          <w:highlight w:val="none"/>
        </w:rPr>
        <w:t>。</w:t>
      </w:r>
    </w:p>
    <w:p>
      <w:pPr>
        <w:overflowPunct w:val="0"/>
        <w:autoSpaceDE w:val="0"/>
        <w:ind w:firstLine="481" w:firstLineChars="171"/>
        <w:rPr>
          <w:rFonts w:ascii="黑体" w:hAnsi="黑体" w:eastAsia="黑体" w:cs="仿宋_GB2312"/>
          <w:b/>
          <w:color w:val="auto"/>
          <w:kern w:val="0"/>
          <w:sz w:val="28"/>
          <w:szCs w:val="28"/>
          <w:highlight w:val="none"/>
        </w:rPr>
      </w:pPr>
      <w:r>
        <w:rPr>
          <w:rFonts w:hint="eastAsia" w:ascii="黑体" w:hAnsi="黑体" w:eastAsia="黑体" w:cs="仿宋_GB2312"/>
          <w:b/>
          <w:color w:val="auto"/>
          <w:kern w:val="0"/>
          <w:sz w:val="28"/>
          <w:szCs w:val="28"/>
          <w:highlight w:val="none"/>
        </w:rPr>
        <w:t>第六条</w:t>
      </w:r>
      <w:r>
        <w:rPr>
          <w:rFonts w:ascii="黑体" w:hAnsi="黑体" w:eastAsia="黑体" w:cs="仿宋_GB2312"/>
          <w:b/>
          <w:color w:val="auto"/>
          <w:kern w:val="0"/>
          <w:sz w:val="28"/>
          <w:szCs w:val="28"/>
          <w:highlight w:val="none"/>
        </w:rPr>
        <w:t xml:space="preserve"> </w:t>
      </w:r>
      <w:r>
        <w:rPr>
          <w:rFonts w:hint="eastAsia" w:ascii="黑体" w:hAnsi="黑体" w:eastAsia="黑体" w:cs="仿宋_GB2312"/>
          <w:b/>
          <w:color w:val="auto"/>
          <w:kern w:val="0"/>
          <w:sz w:val="28"/>
          <w:szCs w:val="28"/>
          <w:highlight w:val="none"/>
        </w:rPr>
        <w:t>履约</w:t>
      </w:r>
      <w:r>
        <w:rPr>
          <w:rFonts w:ascii="黑体" w:hAnsi="黑体" w:eastAsia="黑体" w:cs="仿宋_GB2312"/>
          <w:b/>
          <w:color w:val="auto"/>
          <w:kern w:val="0"/>
          <w:sz w:val="28"/>
          <w:szCs w:val="28"/>
          <w:highlight w:val="none"/>
        </w:rPr>
        <w:t>保证</w:t>
      </w:r>
      <w:r>
        <w:rPr>
          <w:rFonts w:hint="eastAsia" w:ascii="黑体" w:hAnsi="黑体" w:eastAsia="黑体" w:cs="仿宋_GB2312"/>
          <w:b/>
          <w:color w:val="auto"/>
          <w:kern w:val="0"/>
          <w:sz w:val="28"/>
          <w:szCs w:val="28"/>
          <w:highlight w:val="none"/>
        </w:rPr>
        <w:t>金</w:t>
      </w:r>
    </w:p>
    <w:p>
      <w:pPr>
        <w:overflowPunct w:val="0"/>
        <w:autoSpaceDE w:val="0"/>
        <w:ind w:firstLine="478" w:firstLineChars="171"/>
        <w:rPr>
          <w:rFonts w:hint="eastAsia" w:ascii="仿宋_GB2312" w:hAnsi="仿宋_GB2312" w:eastAsia="仿宋_GB2312" w:cs="仿宋_GB2312"/>
          <w:color w:val="auto"/>
          <w:kern w:val="0"/>
          <w:sz w:val="28"/>
          <w:szCs w:val="28"/>
          <w:highlight w:val="none"/>
        </w:rPr>
      </w:pPr>
      <w:r>
        <w:rPr>
          <w:rFonts w:ascii="仿宋_GB2312" w:hAnsi="仿宋_GB2312" w:eastAsia="仿宋_GB2312" w:cs="仿宋_GB2312"/>
          <w:color w:val="auto"/>
          <w:kern w:val="0"/>
          <w:sz w:val="28"/>
          <w:szCs w:val="28"/>
          <w:highlight w:val="none"/>
        </w:rPr>
        <w:t xml:space="preserve">6.1 </w:t>
      </w:r>
      <w:r>
        <w:rPr>
          <w:rFonts w:hint="eastAsia" w:ascii="仿宋_GB2312" w:hAnsi="仿宋_GB2312" w:eastAsia="仿宋_GB2312" w:cs="仿宋_GB2312"/>
          <w:color w:val="auto"/>
          <w:kern w:val="0"/>
          <w:sz w:val="28"/>
          <w:szCs w:val="28"/>
          <w:highlight w:val="none"/>
        </w:rPr>
        <w:t>履约保证金</w:t>
      </w:r>
      <w:r>
        <w:rPr>
          <w:rFonts w:hint="eastAsia" w:ascii="仿宋_GB2312" w:hAnsi="仿宋_GB2312" w:eastAsia="仿宋_GB2312" w:cs="仿宋_GB2312"/>
          <w:color w:val="auto"/>
          <w:kern w:val="0"/>
          <w:sz w:val="28"/>
          <w:szCs w:val="28"/>
          <w:highlight w:val="none"/>
          <w:lang w:val="en-US" w:eastAsia="zh-CN"/>
        </w:rPr>
        <w:t>为</w:t>
      </w:r>
      <w:r>
        <w:rPr>
          <w:rFonts w:hint="eastAsia" w:ascii="仿宋_GB2312" w:hAnsi="仿宋_GB2312" w:eastAsia="仿宋_GB2312" w:cs="仿宋_GB2312"/>
          <w:color w:val="auto"/>
          <w:kern w:val="0"/>
          <w:sz w:val="28"/>
          <w:szCs w:val="28"/>
          <w:highlight w:val="none"/>
        </w:rPr>
        <w:t>成交</w:t>
      </w:r>
      <w:r>
        <w:rPr>
          <w:rFonts w:hint="eastAsia" w:ascii="仿宋_GB2312" w:hAnsi="仿宋_GB2312" w:eastAsia="仿宋_GB2312" w:cs="仿宋_GB2312"/>
          <w:color w:val="auto"/>
          <w:kern w:val="0"/>
          <w:sz w:val="28"/>
          <w:szCs w:val="28"/>
          <w:highlight w:val="none"/>
          <w:lang w:val="en-US" w:eastAsia="zh-CN"/>
        </w:rPr>
        <w:t>价</w:t>
      </w:r>
      <w:r>
        <w:rPr>
          <w:rFonts w:hint="eastAsia" w:ascii="仿宋_GB2312" w:hAnsi="仿宋_GB2312" w:eastAsia="仿宋_GB2312" w:cs="仿宋_GB2312"/>
          <w:color w:val="auto"/>
          <w:kern w:val="0"/>
          <w:sz w:val="28"/>
          <w:szCs w:val="28"/>
          <w:highlight w:val="none"/>
        </w:rPr>
        <w:t>首年租金的50%（以</w:t>
      </w:r>
      <w:r>
        <w:rPr>
          <w:rFonts w:hint="eastAsia" w:ascii="仿宋_GB2312" w:hAnsi="仿宋_GB2312" w:eastAsia="仿宋_GB2312" w:cs="仿宋_GB2312"/>
          <w:color w:val="auto"/>
          <w:kern w:val="0"/>
          <w:sz w:val="28"/>
          <w:szCs w:val="28"/>
          <w:highlight w:val="none"/>
          <w:lang w:val="en-US" w:eastAsia="zh-CN"/>
        </w:rPr>
        <w:t>万</w:t>
      </w:r>
      <w:r>
        <w:rPr>
          <w:rFonts w:hint="eastAsia" w:ascii="仿宋_GB2312" w:hAnsi="仿宋_GB2312" w:eastAsia="仿宋_GB2312" w:cs="仿宋_GB2312"/>
          <w:color w:val="auto"/>
          <w:kern w:val="0"/>
          <w:sz w:val="28"/>
          <w:szCs w:val="28"/>
          <w:highlight w:val="none"/>
        </w:rPr>
        <w:t>元为单位</w:t>
      </w:r>
      <w:r>
        <w:rPr>
          <w:rFonts w:hint="eastAsia" w:ascii="仿宋_GB2312" w:hAnsi="仿宋_GB2312" w:eastAsia="仿宋_GB2312" w:cs="仿宋_GB2312"/>
          <w:color w:val="auto"/>
          <w:kern w:val="0"/>
          <w:sz w:val="28"/>
          <w:szCs w:val="28"/>
          <w:highlight w:val="none"/>
          <w:lang w:eastAsia="zh-CN"/>
        </w:rPr>
        <w:t>向上</w:t>
      </w:r>
      <w:r>
        <w:rPr>
          <w:rFonts w:hint="eastAsia" w:ascii="仿宋_GB2312" w:hAnsi="仿宋_GB2312" w:eastAsia="仿宋_GB2312" w:cs="仿宋_GB2312"/>
          <w:color w:val="auto"/>
          <w:kern w:val="0"/>
          <w:sz w:val="28"/>
          <w:szCs w:val="28"/>
          <w:highlight w:val="none"/>
        </w:rPr>
        <w:t>取整），金额共计人民币￥</w:t>
      </w:r>
      <w:r>
        <w:rPr>
          <w:rFonts w:hint="eastAsia" w:ascii="仿宋_GB2312" w:hAnsi="仿宋_GB2312" w:eastAsia="仿宋_GB2312" w:cs="仿宋_GB2312"/>
          <w:color w:val="auto"/>
          <w:kern w:val="0"/>
          <w:sz w:val="28"/>
          <w:szCs w:val="28"/>
          <w:highlight w:val="none"/>
          <w:u w:val="single"/>
        </w:rPr>
        <w:t xml:space="preserve">   </w:t>
      </w:r>
      <w:r>
        <w:rPr>
          <w:rFonts w:hint="eastAsia" w:ascii="仿宋_GB2312" w:hAnsi="仿宋_GB2312" w:eastAsia="仿宋_GB2312" w:cs="仿宋_GB2312"/>
          <w:color w:val="auto"/>
          <w:kern w:val="0"/>
          <w:sz w:val="28"/>
          <w:szCs w:val="28"/>
          <w:highlight w:val="none"/>
        </w:rPr>
        <w:t>元整（大写：</w:t>
      </w:r>
      <w:r>
        <w:rPr>
          <w:rFonts w:hint="eastAsia" w:ascii="仿宋_GB2312" w:hAnsi="仿宋_GB2312" w:eastAsia="仿宋_GB2312" w:cs="仿宋_GB2312"/>
          <w:color w:val="auto"/>
          <w:kern w:val="0"/>
          <w:sz w:val="28"/>
          <w:szCs w:val="28"/>
          <w:highlight w:val="none"/>
          <w:u w:val="single"/>
        </w:rPr>
        <w:t xml:space="preserve">   </w:t>
      </w:r>
      <w:r>
        <w:rPr>
          <w:rFonts w:hint="eastAsia" w:ascii="仿宋_GB2312" w:hAnsi="仿宋_GB2312" w:eastAsia="仿宋_GB2312" w:cs="仿宋_GB2312"/>
          <w:color w:val="auto"/>
          <w:kern w:val="0"/>
          <w:sz w:val="28"/>
          <w:szCs w:val="28"/>
          <w:highlight w:val="none"/>
        </w:rPr>
        <w:t>元整），</w:t>
      </w:r>
      <w:r>
        <w:rPr>
          <w:rFonts w:hint="eastAsia" w:ascii="仿宋_GB2312" w:hAnsi="仿宋_GB2312" w:eastAsia="仿宋_GB2312" w:cs="仿宋_GB2312"/>
          <w:color w:val="auto"/>
          <w:kern w:val="0"/>
          <w:sz w:val="28"/>
          <w:szCs w:val="28"/>
          <w:highlight w:val="none"/>
          <w:lang w:eastAsia="zh-CN"/>
        </w:rPr>
        <w:t>乙方</w:t>
      </w:r>
      <w:r>
        <w:rPr>
          <w:rFonts w:hint="eastAsia" w:ascii="仿宋_GB2312" w:hAnsi="仿宋_GB2312" w:eastAsia="仿宋_GB2312" w:cs="仿宋_GB2312"/>
          <w:color w:val="auto"/>
          <w:kern w:val="0"/>
          <w:sz w:val="28"/>
          <w:szCs w:val="28"/>
          <w:highlight w:val="none"/>
        </w:rPr>
        <w:t>应在合同签订之前</w:t>
      </w:r>
      <w:r>
        <w:rPr>
          <w:rFonts w:hint="eastAsia" w:ascii="仿宋_GB2312" w:hAnsi="仿宋_GB2312" w:eastAsia="仿宋_GB2312" w:cs="仿宋_GB2312"/>
          <w:color w:val="auto"/>
          <w:kern w:val="0"/>
          <w:sz w:val="28"/>
          <w:szCs w:val="28"/>
          <w:highlight w:val="none"/>
          <w:lang w:val="en-US" w:eastAsia="zh-CN"/>
        </w:rPr>
        <w:t>将履约保证金提交至</w:t>
      </w:r>
      <w:r>
        <w:rPr>
          <w:rFonts w:hint="eastAsia" w:ascii="仿宋_GB2312" w:hAnsi="仿宋_GB2312" w:eastAsia="仿宋_GB2312" w:cs="仿宋_GB2312"/>
          <w:color w:val="auto"/>
          <w:kern w:val="0"/>
          <w:sz w:val="28"/>
          <w:szCs w:val="28"/>
          <w:highlight w:val="none"/>
          <w:lang w:eastAsia="zh-CN"/>
        </w:rPr>
        <w:t>甲方</w:t>
      </w:r>
      <w:r>
        <w:rPr>
          <w:rFonts w:hint="eastAsia" w:ascii="仿宋_GB2312" w:hAnsi="仿宋_GB2312" w:eastAsia="仿宋_GB2312" w:cs="仿宋_GB2312"/>
          <w:color w:val="auto"/>
          <w:kern w:val="0"/>
          <w:sz w:val="28"/>
          <w:szCs w:val="28"/>
          <w:highlight w:val="none"/>
          <w:lang w:val="en-US" w:eastAsia="zh-CN"/>
        </w:rPr>
        <w:t>指定账户</w:t>
      </w:r>
      <w:r>
        <w:rPr>
          <w:rFonts w:hint="eastAsia" w:ascii="仿宋_GB2312" w:hAnsi="仿宋_GB2312" w:eastAsia="仿宋_GB2312" w:cs="仿宋_GB2312"/>
          <w:color w:val="auto"/>
          <w:kern w:val="0"/>
          <w:sz w:val="28"/>
          <w:szCs w:val="28"/>
          <w:highlight w:val="none"/>
        </w:rPr>
        <w:t>。</w:t>
      </w:r>
    </w:p>
    <w:p>
      <w:pPr>
        <w:overflowPunct w:val="0"/>
        <w:autoSpaceDE w:val="0"/>
        <w:ind w:firstLine="478" w:firstLineChars="171"/>
        <w:rPr>
          <w:rFonts w:ascii="仿宋_GB2312" w:hAnsi="仿宋_GB2312" w:eastAsia="仿宋_GB2312" w:cs="仿宋_GB2312"/>
          <w:color w:val="auto"/>
          <w:kern w:val="0"/>
          <w:sz w:val="28"/>
          <w:szCs w:val="28"/>
          <w:highlight w:val="none"/>
        </w:rPr>
      </w:pPr>
      <w:r>
        <w:rPr>
          <w:rFonts w:ascii="仿宋_GB2312" w:hAnsi="仿宋_GB2312" w:eastAsia="仿宋_GB2312" w:cs="仿宋_GB2312"/>
          <w:color w:val="auto"/>
          <w:kern w:val="0"/>
          <w:sz w:val="28"/>
          <w:szCs w:val="28"/>
          <w:highlight w:val="none"/>
        </w:rPr>
        <w:t xml:space="preserve">6.2 </w:t>
      </w:r>
      <w:r>
        <w:rPr>
          <w:rFonts w:hint="eastAsia" w:ascii="仿宋_GB2312" w:hAnsi="仿宋_GB2312" w:eastAsia="仿宋_GB2312" w:cs="仿宋_GB2312"/>
          <w:color w:val="auto"/>
          <w:kern w:val="0"/>
          <w:sz w:val="28"/>
          <w:szCs w:val="28"/>
          <w:highlight w:val="none"/>
        </w:rPr>
        <w:t>在下列条件全部满足后</w:t>
      </w:r>
      <w:r>
        <w:rPr>
          <w:rFonts w:hint="eastAsia" w:ascii="仿宋_GB2312" w:hAnsi="仿宋_GB2312" w:eastAsia="仿宋_GB2312" w:cs="仿宋_GB2312"/>
          <w:color w:val="auto"/>
          <w:kern w:val="0"/>
          <w:sz w:val="28"/>
          <w:szCs w:val="28"/>
          <w:highlight w:val="none"/>
          <w:lang w:val="en-US" w:eastAsia="zh-CN"/>
        </w:rPr>
        <w:t>15</w:t>
      </w:r>
      <w:r>
        <w:rPr>
          <w:rFonts w:hint="eastAsia" w:ascii="仿宋_GB2312" w:hAnsi="仿宋_GB2312" w:eastAsia="仿宋_GB2312" w:cs="仿宋_GB2312"/>
          <w:color w:val="auto"/>
          <w:kern w:val="0"/>
          <w:sz w:val="28"/>
          <w:szCs w:val="28"/>
          <w:highlight w:val="none"/>
        </w:rPr>
        <w:t>个工作日内，</w:t>
      </w:r>
      <w:r>
        <w:rPr>
          <w:rFonts w:hint="eastAsia" w:ascii="仿宋_GB2312" w:hAnsi="仿宋_GB2312" w:eastAsia="仿宋_GB2312" w:cs="仿宋_GB2312"/>
          <w:color w:val="auto"/>
          <w:kern w:val="0"/>
          <w:sz w:val="28"/>
          <w:szCs w:val="28"/>
          <w:highlight w:val="none"/>
          <w:lang w:eastAsia="zh-CN"/>
        </w:rPr>
        <w:t>甲方</w:t>
      </w:r>
      <w:r>
        <w:rPr>
          <w:rFonts w:hint="eastAsia" w:ascii="仿宋_GB2312" w:hAnsi="仿宋_GB2312" w:eastAsia="仿宋_GB2312" w:cs="仿宋_GB2312"/>
          <w:color w:val="auto"/>
          <w:kern w:val="0"/>
          <w:sz w:val="28"/>
          <w:szCs w:val="28"/>
          <w:highlight w:val="none"/>
        </w:rPr>
        <w:t>将</w:t>
      </w:r>
      <w:r>
        <w:rPr>
          <w:rFonts w:hint="eastAsia" w:ascii="仿宋_GB2312" w:hAnsi="仿宋_GB2312" w:eastAsia="仿宋_GB2312" w:cs="仿宋_GB2312"/>
          <w:color w:val="auto"/>
          <w:kern w:val="0"/>
          <w:sz w:val="28"/>
          <w:szCs w:val="28"/>
          <w:highlight w:val="none"/>
          <w:lang w:val="en-US" w:eastAsia="zh-CN"/>
        </w:rPr>
        <w:t>剩余的</w:t>
      </w:r>
      <w:r>
        <w:rPr>
          <w:rFonts w:hint="eastAsia" w:ascii="仿宋_GB2312" w:hAnsi="仿宋_GB2312" w:eastAsia="仿宋_GB2312" w:cs="仿宋_GB2312"/>
          <w:color w:val="auto"/>
          <w:kern w:val="0"/>
          <w:sz w:val="28"/>
          <w:szCs w:val="28"/>
          <w:highlight w:val="none"/>
        </w:rPr>
        <w:t>履约</w:t>
      </w:r>
      <w:r>
        <w:rPr>
          <w:rFonts w:ascii="仿宋_GB2312" w:hAnsi="仿宋_GB2312" w:eastAsia="仿宋_GB2312" w:cs="仿宋_GB2312"/>
          <w:color w:val="auto"/>
          <w:kern w:val="0"/>
          <w:sz w:val="28"/>
          <w:szCs w:val="28"/>
          <w:highlight w:val="none"/>
        </w:rPr>
        <w:t>保证</w:t>
      </w:r>
      <w:r>
        <w:rPr>
          <w:rFonts w:hint="eastAsia" w:ascii="仿宋_GB2312" w:hAnsi="仿宋_GB2312" w:eastAsia="仿宋_GB2312" w:cs="仿宋_GB2312"/>
          <w:color w:val="auto"/>
          <w:kern w:val="0"/>
          <w:sz w:val="28"/>
          <w:szCs w:val="28"/>
          <w:highlight w:val="none"/>
        </w:rPr>
        <w:t>金无息退回给</w:t>
      </w:r>
      <w:r>
        <w:rPr>
          <w:rFonts w:hint="eastAsia" w:ascii="仿宋_GB2312" w:hAnsi="仿宋_GB2312" w:eastAsia="仿宋_GB2312" w:cs="仿宋_GB2312"/>
          <w:color w:val="auto"/>
          <w:kern w:val="0"/>
          <w:sz w:val="28"/>
          <w:szCs w:val="28"/>
          <w:highlight w:val="none"/>
          <w:lang w:eastAsia="zh-CN"/>
        </w:rPr>
        <w:t>乙方</w:t>
      </w:r>
      <w:r>
        <w:rPr>
          <w:rFonts w:hint="eastAsia" w:ascii="仿宋_GB2312" w:hAnsi="仿宋_GB2312" w:eastAsia="仿宋_GB2312" w:cs="仿宋_GB2312"/>
          <w:color w:val="auto"/>
          <w:kern w:val="0"/>
          <w:sz w:val="28"/>
          <w:szCs w:val="28"/>
          <w:highlight w:val="none"/>
        </w:rPr>
        <w:t>：</w:t>
      </w:r>
    </w:p>
    <w:p>
      <w:pPr>
        <w:overflowPunct w:val="0"/>
        <w:autoSpaceDE w:val="0"/>
        <w:ind w:firstLine="478" w:firstLineChars="171"/>
        <w:rPr>
          <w:rFonts w:ascii="仿宋_GB2312" w:hAnsi="仿宋_GB2312" w:eastAsia="仿宋_GB2312" w:cs="仿宋_GB2312"/>
          <w:color w:val="auto"/>
          <w:kern w:val="0"/>
          <w:sz w:val="28"/>
          <w:szCs w:val="28"/>
          <w:highlight w:val="none"/>
        </w:rPr>
      </w:pPr>
      <w:r>
        <w:rPr>
          <w:rFonts w:ascii="仿宋_GB2312" w:hAnsi="仿宋_GB2312" w:eastAsia="仿宋_GB2312" w:cs="仿宋_GB2312"/>
          <w:color w:val="auto"/>
          <w:kern w:val="0"/>
          <w:sz w:val="28"/>
          <w:szCs w:val="28"/>
          <w:highlight w:val="none"/>
        </w:rPr>
        <w:t>6.2.1 租赁终止（含</w:t>
      </w:r>
      <w:r>
        <w:rPr>
          <w:rFonts w:hint="eastAsia" w:ascii="仿宋_GB2312" w:hAnsi="仿宋_GB2312" w:eastAsia="仿宋_GB2312" w:cs="仿宋_GB2312"/>
          <w:color w:val="auto"/>
          <w:kern w:val="0"/>
          <w:sz w:val="28"/>
          <w:szCs w:val="28"/>
          <w:highlight w:val="none"/>
        </w:rPr>
        <w:t>本</w:t>
      </w:r>
      <w:r>
        <w:rPr>
          <w:rFonts w:ascii="仿宋_GB2312" w:hAnsi="仿宋_GB2312" w:eastAsia="仿宋_GB2312" w:cs="仿宋_GB2312"/>
          <w:color w:val="auto"/>
          <w:kern w:val="0"/>
          <w:sz w:val="28"/>
          <w:szCs w:val="28"/>
          <w:highlight w:val="none"/>
        </w:rPr>
        <w:t>合同约定的租赁期限届满、非因</w:t>
      </w:r>
      <w:r>
        <w:rPr>
          <w:rFonts w:hint="eastAsia" w:ascii="仿宋_GB2312" w:hAnsi="仿宋_GB2312" w:eastAsia="仿宋_GB2312" w:cs="仿宋_GB2312"/>
          <w:color w:val="auto"/>
          <w:kern w:val="0"/>
          <w:sz w:val="28"/>
          <w:szCs w:val="28"/>
          <w:highlight w:val="none"/>
          <w:lang w:eastAsia="zh-CN"/>
        </w:rPr>
        <w:t>乙方</w:t>
      </w:r>
      <w:r>
        <w:rPr>
          <w:rFonts w:ascii="仿宋_GB2312" w:hAnsi="仿宋_GB2312" w:eastAsia="仿宋_GB2312" w:cs="仿宋_GB2312"/>
          <w:color w:val="auto"/>
          <w:kern w:val="0"/>
          <w:sz w:val="28"/>
          <w:szCs w:val="28"/>
          <w:highlight w:val="none"/>
        </w:rPr>
        <w:t>违约导致的合同解除及租赁终止，下同）</w:t>
      </w:r>
      <w:r>
        <w:rPr>
          <w:rFonts w:hint="eastAsia" w:ascii="仿宋_GB2312" w:hAnsi="仿宋_GB2312" w:eastAsia="仿宋_GB2312" w:cs="仿宋_GB2312"/>
          <w:color w:val="auto"/>
          <w:kern w:val="0"/>
          <w:sz w:val="28"/>
          <w:szCs w:val="28"/>
          <w:highlight w:val="none"/>
        </w:rPr>
        <w:t>。</w:t>
      </w:r>
    </w:p>
    <w:p>
      <w:pPr>
        <w:overflowPunct w:val="0"/>
        <w:autoSpaceDE w:val="0"/>
        <w:ind w:firstLine="478" w:firstLineChars="171"/>
        <w:rPr>
          <w:rFonts w:ascii="仿宋_GB2312" w:hAnsi="仿宋_GB2312" w:eastAsia="仿宋_GB2312" w:cs="仿宋_GB2312"/>
          <w:color w:val="auto"/>
          <w:kern w:val="0"/>
          <w:sz w:val="28"/>
          <w:szCs w:val="28"/>
          <w:highlight w:val="none"/>
        </w:rPr>
      </w:pPr>
      <w:r>
        <w:rPr>
          <w:rFonts w:ascii="仿宋_GB2312" w:hAnsi="仿宋_GB2312" w:eastAsia="仿宋_GB2312" w:cs="仿宋_GB2312"/>
          <w:color w:val="auto"/>
          <w:kern w:val="0"/>
          <w:sz w:val="28"/>
          <w:szCs w:val="28"/>
          <w:highlight w:val="none"/>
        </w:rPr>
        <w:t xml:space="preserve">6.2.2 </w:t>
      </w:r>
      <w:r>
        <w:rPr>
          <w:rFonts w:hint="eastAsia" w:ascii="仿宋_GB2312" w:hAnsi="仿宋_GB2312" w:eastAsia="仿宋_GB2312" w:cs="仿宋_GB2312"/>
          <w:color w:val="auto"/>
          <w:kern w:val="0"/>
          <w:sz w:val="28"/>
          <w:szCs w:val="28"/>
          <w:highlight w:val="none"/>
          <w:lang w:eastAsia="zh-CN"/>
        </w:rPr>
        <w:t>乙方</w:t>
      </w:r>
      <w:r>
        <w:rPr>
          <w:rFonts w:hint="eastAsia" w:ascii="仿宋_GB2312" w:hAnsi="仿宋_GB2312" w:eastAsia="仿宋_GB2312" w:cs="仿宋_GB2312"/>
          <w:color w:val="auto"/>
          <w:kern w:val="0"/>
          <w:sz w:val="28"/>
          <w:szCs w:val="28"/>
          <w:highlight w:val="none"/>
        </w:rPr>
        <w:t>已付</w:t>
      </w:r>
      <w:r>
        <w:rPr>
          <w:rFonts w:hint="eastAsia" w:ascii="仿宋_GB2312" w:hAnsi="仿宋_GB2312" w:eastAsia="仿宋_GB2312" w:cs="仿宋_GB2312"/>
          <w:color w:val="auto"/>
          <w:kern w:val="0"/>
          <w:sz w:val="28"/>
          <w:szCs w:val="28"/>
          <w:highlight w:val="none"/>
          <w:lang w:val="en-US" w:eastAsia="zh-CN"/>
        </w:rPr>
        <w:t>清</w:t>
      </w:r>
      <w:r>
        <w:rPr>
          <w:rFonts w:hint="eastAsia" w:ascii="仿宋_GB2312" w:hAnsi="仿宋_GB2312" w:eastAsia="仿宋_GB2312" w:cs="仿宋_GB2312"/>
          <w:color w:val="auto"/>
          <w:kern w:val="0"/>
          <w:sz w:val="28"/>
          <w:szCs w:val="28"/>
          <w:highlight w:val="none"/>
        </w:rPr>
        <w:t>合同约定的各项费用</w:t>
      </w:r>
      <w:r>
        <w:rPr>
          <w:rFonts w:hint="eastAsia" w:ascii="仿宋_GB2312" w:hAnsi="仿宋_GB2312" w:eastAsia="仿宋_GB2312" w:cs="仿宋_GB2312"/>
          <w:color w:val="auto"/>
          <w:kern w:val="0"/>
          <w:sz w:val="28"/>
          <w:szCs w:val="28"/>
          <w:highlight w:val="none"/>
          <w:lang w:val="en-US" w:eastAsia="zh-CN"/>
        </w:rPr>
        <w:t>或甲方从履约保证金中扣除应扣费用后尚有余额</w:t>
      </w:r>
      <w:r>
        <w:rPr>
          <w:rFonts w:hint="eastAsia" w:ascii="仿宋_GB2312" w:hAnsi="仿宋_GB2312" w:eastAsia="仿宋_GB2312" w:cs="仿宋_GB2312"/>
          <w:color w:val="auto"/>
          <w:kern w:val="0"/>
          <w:sz w:val="28"/>
          <w:szCs w:val="28"/>
          <w:highlight w:val="none"/>
        </w:rPr>
        <w:t>。</w:t>
      </w:r>
    </w:p>
    <w:p>
      <w:pPr>
        <w:overflowPunct w:val="0"/>
        <w:autoSpaceDE w:val="0"/>
        <w:ind w:firstLine="478" w:firstLineChars="171"/>
        <w:rPr>
          <w:rFonts w:ascii="仿宋_GB2312" w:hAnsi="仿宋_GB2312" w:eastAsia="仿宋_GB2312" w:cs="仿宋_GB2312"/>
          <w:color w:val="auto"/>
          <w:kern w:val="0"/>
          <w:sz w:val="28"/>
          <w:szCs w:val="28"/>
          <w:highlight w:val="none"/>
        </w:rPr>
      </w:pPr>
      <w:r>
        <w:rPr>
          <w:rFonts w:ascii="仿宋_GB2312" w:hAnsi="仿宋_GB2312" w:eastAsia="仿宋_GB2312" w:cs="仿宋_GB2312"/>
          <w:color w:val="auto"/>
          <w:kern w:val="0"/>
          <w:sz w:val="28"/>
          <w:szCs w:val="28"/>
          <w:highlight w:val="none"/>
        </w:rPr>
        <w:t xml:space="preserve">6.2.3 </w:t>
      </w:r>
      <w:r>
        <w:rPr>
          <w:rFonts w:hint="eastAsia" w:ascii="仿宋_GB2312" w:hAnsi="仿宋_GB2312" w:eastAsia="仿宋_GB2312" w:cs="仿宋_GB2312"/>
          <w:color w:val="auto"/>
          <w:kern w:val="0"/>
          <w:sz w:val="28"/>
          <w:szCs w:val="28"/>
          <w:highlight w:val="none"/>
          <w:lang w:eastAsia="zh-CN"/>
        </w:rPr>
        <w:t>乙方</w:t>
      </w:r>
      <w:r>
        <w:rPr>
          <w:rFonts w:ascii="仿宋_GB2312" w:hAnsi="仿宋_GB2312" w:eastAsia="仿宋_GB2312" w:cs="仿宋_GB2312"/>
          <w:color w:val="auto"/>
          <w:kern w:val="0"/>
          <w:sz w:val="28"/>
          <w:szCs w:val="28"/>
          <w:highlight w:val="none"/>
        </w:rPr>
        <w:t>已将</w:t>
      </w:r>
      <w:r>
        <w:rPr>
          <w:rFonts w:hint="eastAsia" w:ascii="仿宋_GB2312" w:hAnsi="仿宋_GB2312" w:eastAsia="仿宋_GB2312" w:cs="仿宋_GB2312"/>
          <w:color w:val="auto"/>
          <w:kern w:val="0"/>
          <w:sz w:val="28"/>
          <w:szCs w:val="28"/>
          <w:highlight w:val="none"/>
        </w:rPr>
        <w:t>物业空间</w:t>
      </w:r>
      <w:r>
        <w:rPr>
          <w:rFonts w:ascii="仿宋_GB2312" w:hAnsi="仿宋_GB2312" w:eastAsia="仿宋_GB2312" w:cs="仿宋_GB2312"/>
          <w:color w:val="auto"/>
          <w:kern w:val="0"/>
          <w:sz w:val="28"/>
          <w:szCs w:val="28"/>
          <w:highlight w:val="none"/>
        </w:rPr>
        <w:t>及附属设施设备物完好、整洁地交还给</w:t>
      </w:r>
      <w:r>
        <w:rPr>
          <w:rFonts w:hint="eastAsia" w:ascii="仿宋_GB2312" w:hAnsi="仿宋_GB2312" w:eastAsia="仿宋_GB2312" w:cs="仿宋_GB2312"/>
          <w:color w:val="auto"/>
          <w:kern w:val="0"/>
          <w:sz w:val="28"/>
          <w:szCs w:val="28"/>
          <w:highlight w:val="none"/>
          <w:lang w:eastAsia="zh-CN"/>
        </w:rPr>
        <w:t>甲方</w:t>
      </w:r>
      <w:r>
        <w:rPr>
          <w:rFonts w:hint="eastAsia" w:ascii="仿宋_GB2312" w:hAnsi="仿宋_GB2312" w:eastAsia="仿宋_GB2312" w:cs="仿宋_GB2312"/>
          <w:color w:val="auto"/>
          <w:kern w:val="0"/>
          <w:sz w:val="28"/>
          <w:szCs w:val="28"/>
          <w:highlight w:val="none"/>
        </w:rPr>
        <w:t>。</w:t>
      </w:r>
    </w:p>
    <w:p>
      <w:pPr>
        <w:overflowPunct w:val="0"/>
        <w:autoSpaceDE w:val="0"/>
        <w:ind w:firstLine="478" w:firstLineChars="171"/>
        <w:rPr>
          <w:rFonts w:ascii="仿宋_GB2312" w:hAnsi="仿宋_GB2312" w:eastAsia="仿宋_GB2312" w:cs="仿宋_GB2312"/>
          <w:color w:val="auto"/>
          <w:kern w:val="0"/>
          <w:sz w:val="28"/>
          <w:szCs w:val="28"/>
          <w:highlight w:val="none"/>
        </w:rPr>
      </w:pPr>
      <w:r>
        <w:rPr>
          <w:rFonts w:ascii="仿宋_GB2312" w:hAnsi="仿宋_GB2312" w:eastAsia="仿宋_GB2312" w:cs="仿宋_GB2312"/>
          <w:color w:val="auto"/>
          <w:kern w:val="0"/>
          <w:sz w:val="28"/>
          <w:szCs w:val="28"/>
          <w:highlight w:val="none"/>
        </w:rPr>
        <w:t xml:space="preserve">6.2.4 </w:t>
      </w:r>
      <w:r>
        <w:rPr>
          <w:rFonts w:hint="eastAsia" w:ascii="仿宋_GB2312" w:hAnsi="仿宋_GB2312" w:eastAsia="仿宋_GB2312" w:cs="仿宋_GB2312"/>
          <w:color w:val="auto"/>
          <w:kern w:val="0"/>
          <w:sz w:val="28"/>
          <w:szCs w:val="28"/>
          <w:highlight w:val="none"/>
          <w:lang w:eastAsia="zh-CN"/>
        </w:rPr>
        <w:t>乙方</w:t>
      </w:r>
      <w:r>
        <w:rPr>
          <w:rFonts w:hint="eastAsia" w:ascii="仿宋_GB2312" w:hAnsi="仿宋_GB2312" w:eastAsia="仿宋_GB2312" w:cs="仿宋_GB2312"/>
          <w:color w:val="auto"/>
          <w:kern w:val="0"/>
          <w:sz w:val="28"/>
          <w:szCs w:val="28"/>
          <w:highlight w:val="none"/>
        </w:rPr>
        <w:t>向</w:t>
      </w:r>
      <w:r>
        <w:rPr>
          <w:rFonts w:hint="eastAsia" w:ascii="仿宋_GB2312" w:hAnsi="仿宋_GB2312" w:eastAsia="仿宋_GB2312" w:cs="仿宋_GB2312"/>
          <w:color w:val="auto"/>
          <w:kern w:val="0"/>
          <w:sz w:val="28"/>
          <w:szCs w:val="28"/>
          <w:highlight w:val="none"/>
          <w:lang w:eastAsia="zh-CN"/>
        </w:rPr>
        <w:t>甲方</w:t>
      </w:r>
      <w:r>
        <w:rPr>
          <w:rFonts w:hint="eastAsia" w:ascii="仿宋_GB2312" w:hAnsi="仿宋_GB2312" w:eastAsia="仿宋_GB2312" w:cs="仿宋_GB2312"/>
          <w:color w:val="auto"/>
          <w:kern w:val="0"/>
          <w:sz w:val="28"/>
          <w:szCs w:val="28"/>
          <w:highlight w:val="none"/>
        </w:rPr>
        <w:t>书面提出履约</w:t>
      </w:r>
      <w:r>
        <w:rPr>
          <w:rFonts w:ascii="仿宋_GB2312" w:hAnsi="仿宋_GB2312" w:eastAsia="仿宋_GB2312" w:cs="仿宋_GB2312"/>
          <w:color w:val="auto"/>
          <w:kern w:val="0"/>
          <w:sz w:val="28"/>
          <w:szCs w:val="28"/>
          <w:highlight w:val="none"/>
        </w:rPr>
        <w:t>保证</w:t>
      </w:r>
      <w:r>
        <w:rPr>
          <w:rFonts w:hint="eastAsia" w:ascii="仿宋_GB2312" w:hAnsi="仿宋_GB2312" w:eastAsia="仿宋_GB2312" w:cs="仿宋_GB2312"/>
          <w:color w:val="auto"/>
          <w:kern w:val="0"/>
          <w:sz w:val="28"/>
          <w:szCs w:val="28"/>
          <w:highlight w:val="none"/>
        </w:rPr>
        <w:t>金返还申请（附</w:t>
      </w:r>
      <w:r>
        <w:rPr>
          <w:rFonts w:hint="eastAsia" w:ascii="仿宋_GB2312" w:hAnsi="仿宋_GB2312" w:eastAsia="仿宋_GB2312" w:cs="仿宋_GB2312"/>
          <w:color w:val="auto"/>
          <w:kern w:val="0"/>
          <w:sz w:val="28"/>
          <w:szCs w:val="28"/>
          <w:highlight w:val="none"/>
          <w:lang w:eastAsia="zh-CN"/>
        </w:rPr>
        <w:t>乙方</w:t>
      </w:r>
      <w:r>
        <w:rPr>
          <w:rFonts w:hint="eastAsia" w:ascii="仿宋_GB2312" w:hAnsi="仿宋_GB2312" w:eastAsia="仿宋_GB2312" w:cs="仿宋_GB2312"/>
          <w:color w:val="auto"/>
          <w:kern w:val="0"/>
          <w:sz w:val="28"/>
          <w:szCs w:val="28"/>
          <w:highlight w:val="none"/>
        </w:rPr>
        <w:t>收款账户）。</w:t>
      </w:r>
    </w:p>
    <w:p>
      <w:pPr>
        <w:overflowPunct w:val="0"/>
        <w:autoSpaceDE w:val="0"/>
        <w:ind w:firstLine="478" w:firstLineChars="171"/>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lang w:val="en-US" w:eastAsia="zh-CN"/>
        </w:rPr>
        <w:t xml:space="preserve">6.3 </w:t>
      </w:r>
      <w:r>
        <w:rPr>
          <w:rFonts w:hint="eastAsia" w:ascii="仿宋_GB2312" w:hAnsi="仿宋_GB2312" w:eastAsia="仿宋_GB2312" w:cs="仿宋_GB2312"/>
          <w:color w:val="auto"/>
          <w:kern w:val="0"/>
          <w:sz w:val="28"/>
          <w:szCs w:val="28"/>
          <w:highlight w:val="none"/>
        </w:rPr>
        <w:t>租赁期限内，若</w:t>
      </w:r>
      <w:r>
        <w:rPr>
          <w:rFonts w:hint="eastAsia" w:ascii="仿宋_GB2312" w:hAnsi="仿宋_GB2312" w:eastAsia="仿宋_GB2312" w:cs="仿宋_GB2312"/>
          <w:color w:val="auto"/>
          <w:kern w:val="0"/>
          <w:sz w:val="28"/>
          <w:szCs w:val="28"/>
          <w:highlight w:val="none"/>
          <w:lang w:eastAsia="zh-CN"/>
        </w:rPr>
        <w:t>乙方</w:t>
      </w:r>
      <w:r>
        <w:rPr>
          <w:rFonts w:hint="eastAsia" w:ascii="仿宋_GB2312" w:hAnsi="仿宋_GB2312" w:eastAsia="仿宋_GB2312" w:cs="仿宋_GB2312"/>
          <w:color w:val="auto"/>
          <w:kern w:val="0"/>
          <w:sz w:val="28"/>
          <w:szCs w:val="28"/>
          <w:highlight w:val="none"/>
        </w:rPr>
        <w:t>存在违约或其他损害</w:t>
      </w:r>
      <w:r>
        <w:rPr>
          <w:rFonts w:hint="eastAsia" w:ascii="仿宋_GB2312" w:hAnsi="仿宋_GB2312" w:eastAsia="仿宋_GB2312" w:cs="仿宋_GB2312"/>
          <w:color w:val="auto"/>
          <w:kern w:val="0"/>
          <w:sz w:val="28"/>
          <w:szCs w:val="28"/>
          <w:highlight w:val="none"/>
          <w:lang w:eastAsia="zh-CN"/>
        </w:rPr>
        <w:t>甲方</w:t>
      </w:r>
      <w:r>
        <w:rPr>
          <w:rFonts w:hint="eastAsia" w:ascii="仿宋_GB2312" w:hAnsi="仿宋_GB2312" w:eastAsia="仿宋_GB2312" w:cs="仿宋_GB2312"/>
          <w:color w:val="auto"/>
          <w:kern w:val="0"/>
          <w:sz w:val="28"/>
          <w:szCs w:val="28"/>
          <w:highlight w:val="none"/>
        </w:rPr>
        <w:t>利益的行为，</w:t>
      </w:r>
      <w:r>
        <w:rPr>
          <w:rFonts w:hint="eastAsia" w:ascii="仿宋_GB2312" w:hAnsi="仿宋_GB2312" w:eastAsia="仿宋_GB2312" w:cs="仿宋_GB2312"/>
          <w:color w:val="auto"/>
          <w:kern w:val="0"/>
          <w:sz w:val="28"/>
          <w:szCs w:val="28"/>
          <w:highlight w:val="none"/>
          <w:lang w:eastAsia="zh-CN"/>
        </w:rPr>
        <w:t>甲方</w:t>
      </w:r>
      <w:r>
        <w:rPr>
          <w:rFonts w:hint="eastAsia" w:ascii="仿宋_GB2312" w:hAnsi="仿宋_GB2312" w:eastAsia="仿宋_GB2312" w:cs="仿宋_GB2312"/>
          <w:color w:val="auto"/>
          <w:kern w:val="0"/>
          <w:sz w:val="28"/>
          <w:szCs w:val="28"/>
          <w:highlight w:val="none"/>
        </w:rPr>
        <w:t>有权从履约</w:t>
      </w:r>
      <w:r>
        <w:rPr>
          <w:rFonts w:hint="eastAsia" w:ascii="仿宋_GB2312" w:hAnsi="仿宋_GB2312" w:eastAsia="仿宋_GB2312" w:cs="仿宋_GB2312"/>
          <w:color w:val="auto"/>
          <w:kern w:val="0"/>
          <w:sz w:val="28"/>
          <w:szCs w:val="28"/>
          <w:highlight w:val="none"/>
          <w:lang w:val="en-US" w:eastAsia="zh-CN"/>
        </w:rPr>
        <w:t>保证金</w:t>
      </w:r>
      <w:r>
        <w:rPr>
          <w:rFonts w:hint="eastAsia" w:ascii="仿宋_GB2312" w:hAnsi="仿宋_GB2312" w:eastAsia="仿宋_GB2312" w:cs="仿宋_GB2312"/>
          <w:color w:val="auto"/>
          <w:kern w:val="0"/>
          <w:sz w:val="28"/>
          <w:szCs w:val="28"/>
          <w:highlight w:val="none"/>
        </w:rPr>
        <w:t>中扣除</w:t>
      </w:r>
      <w:r>
        <w:rPr>
          <w:rFonts w:hint="eastAsia" w:ascii="仿宋_GB2312" w:hAnsi="仿宋_GB2312" w:eastAsia="仿宋_GB2312" w:cs="仿宋_GB2312"/>
          <w:color w:val="auto"/>
          <w:kern w:val="0"/>
          <w:sz w:val="28"/>
          <w:szCs w:val="28"/>
          <w:highlight w:val="none"/>
          <w:lang w:eastAsia="zh-CN"/>
        </w:rPr>
        <w:t>乙方</w:t>
      </w:r>
      <w:r>
        <w:rPr>
          <w:rFonts w:hint="eastAsia" w:ascii="仿宋_GB2312" w:hAnsi="仿宋_GB2312" w:eastAsia="仿宋_GB2312" w:cs="仿宋_GB2312"/>
          <w:color w:val="auto"/>
          <w:kern w:val="0"/>
          <w:sz w:val="28"/>
          <w:szCs w:val="28"/>
          <w:highlight w:val="none"/>
        </w:rPr>
        <w:t>应付的违约金、赔偿金、租金</w:t>
      </w:r>
      <w:r>
        <w:rPr>
          <w:rFonts w:hint="eastAsia" w:ascii="仿宋_GB2312" w:hAnsi="仿宋_GB2312" w:eastAsia="仿宋_GB2312" w:cs="仿宋_GB2312"/>
          <w:color w:val="auto"/>
          <w:kern w:val="0"/>
          <w:sz w:val="28"/>
          <w:szCs w:val="28"/>
          <w:highlight w:val="none"/>
          <w:lang w:eastAsia="zh-CN"/>
        </w:rPr>
        <w:t>、</w:t>
      </w:r>
      <w:r>
        <w:rPr>
          <w:rFonts w:hint="eastAsia" w:ascii="仿宋_GB2312" w:hAnsi="仿宋_GB2312" w:eastAsia="仿宋_GB2312" w:cs="仿宋_GB2312"/>
          <w:color w:val="auto"/>
          <w:kern w:val="0"/>
          <w:sz w:val="28"/>
          <w:szCs w:val="28"/>
          <w:highlight w:val="none"/>
          <w:lang w:val="en-US" w:eastAsia="zh-CN"/>
        </w:rPr>
        <w:t>水电费（水电费优先从水电费保证金扣除，不足部分再从履约保证金扣除补足）</w:t>
      </w:r>
      <w:r>
        <w:rPr>
          <w:rFonts w:hint="eastAsia" w:ascii="仿宋_GB2312" w:hAnsi="仿宋_GB2312" w:eastAsia="仿宋_GB2312" w:cs="仿宋_GB2312"/>
          <w:color w:val="auto"/>
          <w:kern w:val="0"/>
          <w:sz w:val="28"/>
          <w:szCs w:val="28"/>
          <w:highlight w:val="none"/>
        </w:rPr>
        <w:t>或损失</w:t>
      </w:r>
      <w:r>
        <w:rPr>
          <w:rFonts w:hint="eastAsia" w:ascii="仿宋_GB2312" w:hAnsi="仿宋_GB2312" w:eastAsia="仿宋_GB2312" w:cs="仿宋_GB2312"/>
          <w:color w:val="auto"/>
          <w:kern w:val="0"/>
          <w:sz w:val="28"/>
          <w:szCs w:val="28"/>
          <w:highlight w:val="none"/>
          <w:lang w:eastAsia="zh-CN"/>
        </w:rPr>
        <w:t>，乙方</w:t>
      </w:r>
      <w:r>
        <w:rPr>
          <w:rFonts w:hint="eastAsia" w:ascii="仿宋_GB2312" w:hAnsi="仿宋_GB2312" w:eastAsia="仿宋_GB2312" w:cs="仿宋_GB2312"/>
          <w:color w:val="auto"/>
          <w:kern w:val="0"/>
          <w:sz w:val="28"/>
          <w:szCs w:val="28"/>
          <w:highlight w:val="none"/>
        </w:rPr>
        <w:t>应将不足部分</w:t>
      </w:r>
      <w:r>
        <w:rPr>
          <w:rFonts w:hint="eastAsia" w:ascii="仿宋_GB2312" w:hAnsi="仿宋_GB2312" w:eastAsia="仿宋_GB2312" w:cs="仿宋_GB2312"/>
          <w:color w:val="auto"/>
          <w:kern w:val="0"/>
          <w:sz w:val="28"/>
          <w:szCs w:val="28"/>
          <w:highlight w:val="none"/>
          <w:lang w:eastAsia="zh-CN"/>
        </w:rPr>
        <w:t>和被扣除的履约保证金在扣除后</w:t>
      </w:r>
      <w:r>
        <w:rPr>
          <w:rFonts w:hint="eastAsia" w:ascii="仿宋_GB2312" w:hAnsi="仿宋_GB2312" w:eastAsia="仿宋_GB2312" w:cs="仿宋_GB2312"/>
          <w:color w:val="auto"/>
          <w:kern w:val="0"/>
          <w:sz w:val="28"/>
          <w:szCs w:val="28"/>
          <w:highlight w:val="none"/>
          <w:lang w:val="en-US" w:eastAsia="zh-CN"/>
        </w:rPr>
        <w:t>30个工作日内</w:t>
      </w:r>
      <w:r>
        <w:rPr>
          <w:rFonts w:hint="eastAsia" w:ascii="仿宋_GB2312" w:hAnsi="仿宋_GB2312" w:eastAsia="仿宋_GB2312" w:cs="仿宋_GB2312"/>
          <w:color w:val="auto"/>
          <w:kern w:val="0"/>
          <w:sz w:val="28"/>
          <w:szCs w:val="28"/>
          <w:highlight w:val="none"/>
        </w:rPr>
        <w:t>予以补足。</w:t>
      </w:r>
    </w:p>
    <w:p>
      <w:pPr>
        <w:overflowPunct w:val="0"/>
        <w:autoSpaceDE w:val="0"/>
        <w:ind w:firstLine="478" w:firstLineChars="171"/>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6</w:t>
      </w:r>
      <w:r>
        <w:rPr>
          <w:rFonts w:ascii="仿宋_GB2312" w:hAnsi="仿宋_GB2312" w:eastAsia="仿宋_GB2312" w:cs="仿宋_GB2312"/>
          <w:color w:val="auto"/>
          <w:kern w:val="0"/>
          <w:sz w:val="28"/>
          <w:szCs w:val="28"/>
          <w:highlight w:val="none"/>
        </w:rPr>
        <w:t>.</w:t>
      </w:r>
      <w:r>
        <w:rPr>
          <w:rFonts w:hint="eastAsia" w:ascii="仿宋_GB2312" w:hAnsi="仿宋_GB2312" w:eastAsia="仿宋_GB2312" w:cs="仿宋_GB2312"/>
          <w:color w:val="auto"/>
          <w:kern w:val="0"/>
          <w:sz w:val="28"/>
          <w:szCs w:val="28"/>
          <w:highlight w:val="none"/>
          <w:lang w:val="en-US" w:eastAsia="zh-CN"/>
        </w:rPr>
        <w:t>4</w:t>
      </w:r>
      <w:r>
        <w:rPr>
          <w:rFonts w:hint="eastAsia" w:ascii="仿宋_GB2312" w:hAnsi="仿宋_GB2312" w:eastAsia="仿宋_GB2312" w:cs="仿宋_GB2312"/>
          <w:color w:val="auto"/>
          <w:kern w:val="0"/>
          <w:sz w:val="28"/>
          <w:szCs w:val="28"/>
          <w:highlight w:val="none"/>
        </w:rPr>
        <w:t xml:space="preserve"> </w:t>
      </w:r>
      <w:r>
        <w:rPr>
          <w:rFonts w:hint="eastAsia" w:ascii="仿宋_GB2312" w:hAnsi="仿宋_GB2312" w:eastAsia="仿宋_GB2312" w:cs="仿宋_GB2312"/>
          <w:color w:val="auto"/>
          <w:kern w:val="0"/>
          <w:sz w:val="28"/>
          <w:szCs w:val="28"/>
          <w:highlight w:val="none"/>
          <w:lang w:eastAsia="zh-CN"/>
        </w:rPr>
        <w:t>乙方</w:t>
      </w:r>
      <w:r>
        <w:rPr>
          <w:rFonts w:hint="eastAsia" w:ascii="仿宋_GB2312" w:hAnsi="仿宋_GB2312" w:eastAsia="仿宋_GB2312" w:cs="仿宋_GB2312"/>
          <w:color w:val="auto"/>
          <w:kern w:val="0"/>
          <w:sz w:val="28"/>
          <w:szCs w:val="28"/>
          <w:highlight w:val="none"/>
        </w:rPr>
        <w:t>逾期未补足履约</w:t>
      </w:r>
      <w:r>
        <w:rPr>
          <w:rFonts w:ascii="仿宋_GB2312" w:hAnsi="仿宋_GB2312" w:eastAsia="仿宋_GB2312" w:cs="仿宋_GB2312"/>
          <w:color w:val="auto"/>
          <w:kern w:val="0"/>
          <w:sz w:val="28"/>
          <w:szCs w:val="28"/>
          <w:highlight w:val="none"/>
        </w:rPr>
        <w:t>保证</w:t>
      </w:r>
      <w:r>
        <w:rPr>
          <w:rFonts w:hint="eastAsia" w:ascii="仿宋_GB2312" w:hAnsi="仿宋_GB2312" w:eastAsia="仿宋_GB2312" w:cs="仿宋_GB2312"/>
          <w:color w:val="auto"/>
          <w:kern w:val="0"/>
          <w:sz w:val="28"/>
          <w:szCs w:val="28"/>
          <w:highlight w:val="none"/>
        </w:rPr>
        <w:t>金的，每逾期1天，按未补足履约</w:t>
      </w:r>
      <w:r>
        <w:rPr>
          <w:rFonts w:ascii="仿宋_GB2312" w:hAnsi="仿宋_GB2312" w:eastAsia="仿宋_GB2312" w:cs="仿宋_GB2312"/>
          <w:color w:val="auto"/>
          <w:kern w:val="0"/>
          <w:sz w:val="28"/>
          <w:szCs w:val="28"/>
          <w:highlight w:val="none"/>
        </w:rPr>
        <w:t>保证</w:t>
      </w:r>
      <w:r>
        <w:rPr>
          <w:rFonts w:hint="eastAsia" w:ascii="仿宋_GB2312" w:hAnsi="仿宋_GB2312" w:eastAsia="仿宋_GB2312" w:cs="仿宋_GB2312"/>
          <w:color w:val="auto"/>
          <w:kern w:val="0"/>
          <w:sz w:val="28"/>
          <w:szCs w:val="28"/>
          <w:highlight w:val="none"/>
        </w:rPr>
        <w:t>金金额的0.2‰（万分之二）支付违约金</w:t>
      </w:r>
      <w:r>
        <w:rPr>
          <w:rFonts w:hint="eastAsia" w:ascii="仿宋_GB2312" w:hAnsi="仿宋_GB2312" w:eastAsia="仿宋_GB2312" w:cs="仿宋_GB2312"/>
          <w:color w:val="auto"/>
          <w:kern w:val="0"/>
          <w:sz w:val="28"/>
          <w:szCs w:val="28"/>
          <w:highlight w:val="none"/>
          <w:lang w:eastAsia="zh-CN"/>
        </w:rPr>
        <w:t>。</w:t>
      </w:r>
      <w:r>
        <w:rPr>
          <w:rFonts w:hint="eastAsia" w:ascii="仿宋_GB2312" w:hAnsi="仿宋_GB2312" w:eastAsia="仿宋_GB2312" w:cs="仿宋_GB2312"/>
          <w:color w:val="auto"/>
          <w:kern w:val="0"/>
          <w:sz w:val="28"/>
          <w:szCs w:val="28"/>
          <w:highlight w:val="none"/>
        </w:rPr>
        <w:t>逾期</w:t>
      </w:r>
      <w:r>
        <w:rPr>
          <w:rFonts w:hint="eastAsia" w:ascii="仿宋_GB2312" w:hAnsi="仿宋_GB2312" w:eastAsia="仿宋_GB2312" w:cs="仿宋_GB2312"/>
          <w:color w:val="auto"/>
          <w:kern w:val="0"/>
          <w:sz w:val="28"/>
          <w:szCs w:val="28"/>
          <w:highlight w:val="none"/>
          <w:lang w:val="en-US" w:eastAsia="zh-CN"/>
        </w:rPr>
        <w:t>30</w:t>
      </w:r>
      <w:r>
        <w:rPr>
          <w:rFonts w:hint="eastAsia" w:ascii="仿宋_GB2312" w:hAnsi="仿宋_GB2312" w:eastAsia="仿宋_GB2312" w:cs="仿宋_GB2312"/>
          <w:color w:val="auto"/>
          <w:kern w:val="0"/>
          <w:sz w:val="28"/>
          <w:szCs w:val="28"/>
          <w:highlight w:val="none"/>
        </w:rPr>
        <w:t>天，扣除全部已缴纳的履约</w:t>
      </w:r>
      <w:r>
        <w:rPr>
          <w:rFonts w:ascii="仿宋_GB2312" w:hAnsi="仿宋_GB2312" w:eastAsia="仿宋_GB2312" w:cs="仿宋_GB2312"/>
          <w:color w:val="auto"/>
          <w:kern w:val="0"/>
          <w:sz w:val="28"/>
          <w:szCs w:val="28"/>
          <w:highlight w:val="none"/>
        </w:rPr>
        <w:t>保证</w:t>
      </w:r>
      <w:r>
        <w:rPr>
          <w:rFonts w:hint="eastAsia" w:ascii="仿宋_GB2312" w:hAnsi="仿宋_GB2312" w:eastAsia="仿宋_GB2312" w:cs="仿宋_GB2312"/>
          <w:color w:val="auto"/>
          <w:kern w:val="0"/>
          <w:sz w:val="28"/>
          <w:szCs w:val="28"/>
          <w:highlight w:val="none"/>
        </w:rPr>
        <w:t>金作为违约金外，同时</w:t>
      </w:r>
      <w:r>
        <w:rPr>
          <w:rFonts w:hint="eastAsia" w:ascii="仿宋_GB2312" w:hAnsi="仿宋_GB2312" w:eastAsia="仿宋_GB2312" w:cs="仿宋_GB2312"/>
          <w:color w:val="auto"/>
          <w:kern w:val="0"/>
          <w:sz w:val="28"/>
          <w:szCs w:val="28"/>
          <w:highlight w:val="none"/>
          <w:lang w:eastAsia="zh-CN"/>
        </w:rPr>
        <w:t>甲方</w:t>
      </w:r>
      <w:r>
        <w:rPr>
          <w:rFonts w:hint="eastAsia" w:ascii="仿宋_GB2312" w:hAnsi="仿宋_GB2312" w:eastAsia="仿宋_GB2312" w:cs="仿宋_GB2312"/>
          <w:color w:val="auto"/>
          <w:kern w:val="0"/>
          <w:sz w:val="28"/>
          <w:szCs w:val="28"/>
          <w:highlight w:val="none"/>
        </w:rPr>
        <w:t>有权</w:t>
      </w:r>
      <w:r>
        <w:rPr>
          <w:rFonts w:hint="eastAsia" w:ascii="仿宋_GB2312" w:hAnsi="仿宋_GB2312" w:eastAsia="仿宋_GB2312" w:cs="仿宋_GB2312"/>
          <w:color w:val="auto"/>
          <w:kern w:val="0"/>
          <w:sz w:val="28"/>
          <w:szCs w:val="28"/>
          <w:highlight w:val="none"/>
          <w:lang w:val="en-US" w:eastAsia="zh-CN"/>
        </w:rPr>
        <w:t>单方</w:t>
      </w:r>
      <w:r>
        <w:rPr>
          <w:rFonts w:hint="eastAsia" w:ascii="仿宋_GB2312" w:hAnsi="仿宋_GB2312" w:eastAsia="仿宋_GB2312" w:cs="仿宋_GB2312"/>
          <w:color w:val="auto"/>
          <w:kern w:val="0"/>
          <w:sz w:val="28"/>
          <w:szCs w:val="28"/>
          <w:highlight w:val="none"/>
        </w:rPr>
        <w:t>解除本合同</w:t>
      </w:r>
      <w:r>
        <w:rPr>
          <w:rFonts w:hint="eastAsia" w:ascii="仿宋_GB2312" w:hAnsi="仿宋_GB2312" w:eastAsia="仿宋_GB2312" w:cs="仿宋_GB2312"/>
          <w:color w:val="auto"/>
          <w:kern w:val="0"/>
          <w:sz w:val="28"/>
          <w:szCs w:val="28"/>
          <w:highlight w:val="none"/>
          <w:lang w:val="en-US" w:eastAsia="zh-CN"/>
        </w:rPr>
        <w:t>且不承担任何违约、赔偿责任；因此给甲方造成损失的，甲方有权追究赔偿责任。</w:t>
      </w:r>
    </w:p>
    <w:p>
      <w:pPr>
        <w:overflowPunct w:val="0"/>
        <w:autoSpaceDE w:val="0"/>
        <w:ind w:firstLine="478" w:firstLineChars="171"/>
        <w:rPr>
          <w:rFonts w:ascii="仿宋_GB2312" w:hAnsi="仿宋_GB2312" w:eastAsia="仿宋_GB2312" w:cs="仿宋_GB2312"/>
          <w:color w:val="auto"/>
          <w:kern w:val="0"/>
          <w:sz w:val="28"/>
          <w:szCs w:val="28"/>
          <w:highlight w:val="none"/>
        </w:rPr>
      </w:pPr>
      <w:r>
        <w:rPr>
          <w:rFonts w:ascii="仿宋_GB2312" w:hAnsi="仿宋_GB2312" w:eastAsia="仿宋_GB2312" w:cs="仿宋_GB2312"/>
          <w:color w:val="auto"/>
          <w:kern w:val="0"/>
          <w:sz w:val="28"/>
          <w:szCs w:val="28"/>
          <w:highlight w:val="none"/>
        </w:rPr>
        <w:t>6.</w:t>
      </w:r>
      <w:r>
        <w:rPr>
          <w:rFonts w:hint="eastAsia" w:ascii="仿宋_GB2312" w:hAnsi="仿宋_GB2312" w:eastAsia="仿宋_GB2312" w:cs="仿宋_GB2312"/>
          <w:color w:val="auto"/>
          <w:kern w:val="0"/>
          <w:sz w:val="28"/>
          <w:szCs w:val="28"/>
          <w:highlight w:val="none"/>
          <w:lang w:val="en-US" w:eastAsia="zh-CN"/>
        </w:rPr>
        <w:t xml:space="preserve">5 </w:t>
      </w:r>
      <w:r>
        <w:rPr>
          <w:rFonts w:hint="eastAsia" w:ascii="仿宋_GB2312" w:hAnsi="仿宋_GB2312" w:eastAsia="仿宋_GB2312" w:cs="仿宋_GB2312"/>
          <w:color w:val="auto"/>
          <w:kern w:val="0"/>
          <w:sz w:val="28"/>
          <w:szCs w:val="28"/>
          <w:highlight w:val="none"/>
          <w:lang w:eastAsia="zh-CN"/>
        </w:rPr>
        <w:t>乙方</w:t>
      </w:r>
      <w:r>
        <w:rPr>
          <w:rFonts w:ascii="仿宋_GB2312" w:hAnsi="仿宋_GB2312" w:eastAsia="仿宋_GB2312" w:cs="仿宋_GB2312"/>
          <w:color w:val="auto"/>
          <w:kern w:val="0"/>
          <w:sz w:val="28"/>
          <w:szCs w:val="28"/>
          <w:highlight w:val="none"/>
        </w:rPr>
        <w:t>将</w:t>
      </w:r>
      <w:r>
        <w:rPr>
          <w:rFonts w:hint="eastAsia" w:ascii="仿宋_GB2312" w:hAnsi="仿宋_GB2312" w:eastAsia="仿宋_GB2312" w:cs="仿宋_GB2312"/>
          <w:color w:val="auto"/>
          <w:kern w:val="0"/>
          <w:sz w:val="28"/>
          <w:szCs w:val="28"/>
          <w:highlight w:val="none"/>
        </w:rPr>
        <w:t>履约</w:t>
      </w:r>
      <w:r>
        <w:rPr>
          <w:rFonts w:ascii="仿宋_GB2312" w:hAnsi="仿宋_GB2312" w:eastAsia="仿宋_GB2312" w:cs="仿宋_GB2312"/>
          <w:color w:val="auto"/>
          <w:kern w:val="0"/>
          <w:sz w:val="28"/>
          <w:szCs w:val="28"/>
          <w:highlight w:val="none"/>
        </w:rPr>
        <w:t>保证</w:t>
      </w:r>
      <w:r>
        <w:rPr>
          <w:rFonts w:hint="eastAsia" w:ascii="仿宋_GB2312" w:hAnsi="仿宋_GB2312" w:eastAsia="仿宋_GB2312" w:cs="仿宋_GB2312"/>
          <w:color w:val="auto"/>
          <w:kern w:val="0"/>
          <w:sz w:val="28"/>
          <w:szCs w:val="28"/>
          <w:highlight w:val="none"/>
        </w:rPr>
        <w:t>金支付到如下账号：</w:t>
      </w:r>
    </w:p>
    <w:p>
      <w:pPr>
        <w:overflowPunct w:val="0"/>
        <w:autoSpaceDE w:val="0"/>
        <w:ind w:firstLine="478" w:firstLineChars="171"/>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单位名称：</w:t>
      </w:r>
    </w:p>
    <w:p>
      <w:pPr>
        <w:overflowPunct w:val="0"/>
        <w:autoSpaceDE w:val="0"/>
        <w:ind w:firstLine="478" w:firstLineChars="171"/>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开户行：</w:t>
      </w:r>
    </w:p>
    <w:p>
      <w:pPr>
        <w:overflowPunct w:val="0"/>
        <w:autoSpaceDE w:val="0"/>
        <w:ind w:firstLine="478" w:firstLineChars="171"/>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账号：</w:t>
      </w:r>
    </w:p>
    <w:p>
      <w:pPr>
        <w:overflowPunct w:val="0"/>
        <w:autoSpaceDE w:val="0"/>
        <w:spacing w:line="480" w:lineRule="exact"/>
        <w:ind w:firstLine="562" w:firstLineChars="200"/>
        <w:outlineLvl w:val="0"/>
        <w:rPr>
          <w:rFonts w:ascii="黑体" w:hAnsi="黑体" w:eastAsia="黑体" w:cs="黑体"/>
          <w:b/>
          <w:bCs/>
          <w:color w:val="auto"/>
          <w:sz w:val="28"/>
          <w:szCs w:val="28"/>
          <w:highlight w:val="none"/>
        </w:rPr>
      </w:pPr>
      <w:r>
        <w:rPr>
          <w:rFonts w:hint="eastAsia" w:ascii="黑体" w:hAnsi="黑体" w:eastAsia="黑体" w:cs="黑体"/>
          <w:b/>
          <w:bCs/>
          <w:color w:val="auto"/>
          <w:sz w:val="28"/>
          <w:szCs w:val="28"/>
          <w:highlight w:val="none"/>
        </w:rPr>
        <w:t>第七条 租金及支付方式</w:t>
      </w:r>
    </w:p>
    <w:p>
      <w:pPr>
        <w:overflowPunct w:val="0"/>
        <w:autoSpaceDE w:val="0"/>
        <w:ind w:firstLine="478" w:firstLineChars="171"/>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7.1 租金</w:t>
      </w:r>
    </w:p>
    <w:p>
      <w:pPr>
        <w:overflowPunct w:val="0"/>
        <w:autoSpaceDE w:val="0"/>
        <w:ind w:firstLine="478" w:firstLineChars="171"/>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7.1.1 经营准备期满后的次日为物业空间的起租日，</w:t>
      </w:r>
      <w:r>
        <w:rPr>
          <w:rFonts w:hint="eastAsia" w:ascii="仿宋_GB2312" w:hAnsi="仿宋_GB2312" w:eastAsia="仿宋_GB2312" w:cs="仿宋_GB2312"/>
          <w:color w:val="auto"/>
          <w:kern w:val="0"/>
          <w:sz w:val="28"/>
          <w:szCs w:val="28"/>
          <w:highlight w:val="none"/>
          <w:lang w:eastAsia="zh-CN"/>
        </w:rPr>
        <w:t>乙方</w:t>
      </w:r>
      <w:r>
        <w:rPr>
          <w:rFonts w:hint="eastAsia" w:ascii="仿宋_GB2312" w:hAnsi="仿宋_GB2312" w:eastAsia="仿宋_GB2312" w:cs="仿宋_GB2312"/>
          <w:color w:val="auto"/>
          <w:kern w:val="0"/>
          <w:sz w:val="28"/>
          <w:szCs w:val="28"/>
          <w:highlight w:val="none"/>
        </w:rPr>
        <w:t>无论是否存在对外商业经营行为或无论经营盈亏，租金按起租日起算。</w:t>
      </w:r>
    </w:p>
    <w:p>
      <w:pPr>
        <w:overflowPunct w:val="0"/>
        <w:autoSpaceDE w:val="0"/>
        <w:ind w:firstLine="478" w:firstLineChars="171"/>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7.1.2 本合同</w:t>
      </w:r>
      <w:r>
        <w:rPr>
          <w:rFonts w:hint="eastAsia" w:ascii="仿宋_GB2312" w:hAnsi="仿宋_GB2312" w:eastAsia="仿宋_GB2312" w:cs="仿宋_GB2312"/>
          <w:color w:val="auto"/>
          <w:kern w:val="0"/>
          <w:sz w:val="28"/>
          <w:szCs w:val="28"/>
          <w:highlight w:val="none"/>
          <w:lang w:val="en-US" w:eastAsia="zh-CN"/>
        </w:rPr>
        <w:t>10年</w:t>
      </w:r>
      <w:r>
        <w:rPr>
          <w:rFonts w:hint="eastAsia" w:ascii="仿宋_GB2312" w:hAnsi="仿宋_GB2312" w:eastAsia="仿宋_GB2312" w:cs="仿宋_GB2312"/>
          <w:color w:val="auto"/>
          <w:kern w:val="0"/>
          <w:sz w:val="28"/>
          <w:szCs w:val="28"/>
          <w:highlight w:val="none"/>
        </w:rPr>
        <w:t>总租金为人民币</w:t>
      </w:r>
      <w:r>
        <w:rPr>
          <w:rFonts w:hint="eastAsia" w:ascii="仿宋_GB2312" w:hAnsi="仿宋_GB2312" w:eastAsia="仿宋_GB2312" w:cs="仿宋_GB2312"/>
          <w:color w:val="auto"/>
          <w:kern w:val="0"/>
          <w:sz w:val="28"/>
          <w:szCs w:val="28"/>
          <w:highlight w:val="none"/>
          <w:u w:val="single"/>
        </w:rPr>
        <w:t xml:space="preserve">   </w:t>
      </w:r>
      <w:r>
        <w:rPr>
          <w:rFonts w:hint="eastAsia" w:ascii="仿宋_GB2312" w:hAnsi="仿宋_GB2312" w:eastAsia="仿宋_GB2312" w:cs="仿宋_GB2312"/>
          <w:color w:val="auto"/>
          <w:kern w:val="0"/>
          <w:sz w:val="28"/>
          <w:szCs w:val="28"/>
          <w:highlight w:val="none"/>
        </w:rPr>
        <w:t>万元，大写：</w:t>
      </w:r>
      <w:r>
        <w:rPr>
          <w:rFonts w:hint="eastAsia" w:ascii="仿宋_GB2312" w:hAnsi="仿宋_GB2312" w:eastAsia="仿宋_GB2312" w:cs="仿宋_GB2312"/>
          <w:color w:val="auto"/>
          <w:kern w:val="0"/>
          <w:sz w:val="28"/>
          <w:szCs w:val="28"/>
          <w:highlight w:val="none"/>
          <w:u w:val="single"/>
        </w:rPr>
        <w:t xml:space="preserve">   </w:t>
      </w:r>
      <w:r>
        <w:rPr>
          <w:rFonts w:hint="eastAsia" w:ascii="仿宋_GB2312" w:hAnsi="仿宋_GB2312" w:eastAsia="仿宋_GB2312" w:cs="仿宋_GB2312"/>
          <w:color w:val="auto"/>
          <w:kern w:val="0"/>
          <w:sz w:val="28"/>
          <w:szCs w:val="28"/>
          <w:highlight w:val="none"/>
        </w:rPr>
        <w:t>万元 ；（含税，开具增值税发票）。</w:t>
      </w:r>
    </w:p>
    <w:p>
      <w:pPr>
        <w:overflowPunct w:val="0"/>
        <w:autoSpaceDE w:val="0"/>
        <w:ind w:firstLine="478" w:firstLineChars="171"/>
        <w:rPr>
          <w:rFonts w:hint="eastAsia" w:ascii="仿宋_GB2312" w:hAnsi="仿宋_GB2312" w:eastAsia="仿宋_GB2312" w:cs="仿宋_GB2312"/>
          <w:color w:val="auto"/>
          <w:kern w:val="0"/>
          <w:sz w:val="28"/>
          <w:szCs w:val="28"/>
          <w:highlight w:val="none"/>
        </w:rPr>
      </w:pPr>
      <w:r>
        <w:rPr>
          <w:rFonts w:hint="default" w:ascii="仿宋_GB2312" w:hAnsi="仿宋_GB2312" w:eastAsia="仿宋_GB2312" w:cs="仿宋_GB2312"/>
          <w:color w:val="auto"/>
          <w:kern w:val="0"/>
          <w:sz w:val="28"/>
          <w:szCs w:val="28"/>
          <w:highlight w:val="none"/>
          <w:lang w:val="en-US" w:eastAsia="zh-CN"/>
        </w:rPr>
        <w:t>7.2</w:t>
      </w:r>
      <w:r>
        <w:rPr>
          <w:rFonts w:hint="eastAsia" w:ascii="仿宋_GB2312" w:hAnsi="仿宋_GB2312" w:eastAsia="仿宋_GB2312" w:cs="仿宋_GB2312"/>
          <w:color w:val="auto"/>
          <w:kern w:val="0"/>
          <w:sz w:val="28"/>
          <w:szCs w:val="28"/>
          <w:highlight w:val="none"/>
          <w:lang w:val="en-US" w:eastAsia="zh-CN"/>
        </w:rPr>
        <w:t xml:space="preserve"> </w:t>
      </w:r>
      <w:r>
        <w:rPr>
          <w:rFonts w:hint="default" w:ascii="仿宋_GB2312" w:hAnsi="仿宋_GB2312" w:eastAsia="仿宋_GB2312" w:cs="仿宋_GB2312"/>
          <w:color w:val="auto"/>
          <w:kern w:val="0"/>
          <w:sz w:val="28"/>
          <w:szCs w:val="28"/>
          <w:highlight w:val="none"/>
          <w:lang w:val="en-US" w:eastAsia="zh-CN"/>
        </w:rPr>
        <w:t>租金占比</w:t>
      </w:r>
    </w:p>
    <w:p>
      <w:pPr>
        <w:numPr>
          <w:ilvl w:val="255"/>
          <w:numId w:val="0"/>
        </w:numPr>
        <w:ind w:firstLine="0" w:firstLineChars="0"/>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rPr>
        <w:t>租金占比表</w:t>
      </w:r>
    </w:p>
    <w:tbl>
      <w:tblPr>
        <w:tblStyle w:val="14"/>
        <w:tblpPr w:leftFromText="180" w:rightFromText="180" w:vertAnchor="text" w:horzAnchor="page" w:tblpX="1794" w:tblpY="226"/>
        <w:tblOverlap w:val="never"/>
        <w:tblW w:w="4999" w:type="pct"/>
        <w:jc w:val="center"/>
        <w:tblLayout w:type="autofit"/>
        <w:tblCellMar>
          <w:top w:w="0" w:type="dxa"/>
          <w:left w:w="108" w:type="dxa"/>
          <w:bottom w:w="0" w:type="dxa"/>
          <w:right w:w="108" w:type="dxa"/>
        </w:tblCellMar>
      </w:tblPr>
      <w:tblGrid>
        <w:gridCol w:w="1116"/>
        <w:gridCol w:w="728"/>
        <w:gridCol w:w="728"/>
        <w:gridCol w:w="728"/>
        <w:gridCol w:w="728"/>
        <w:gridCol w:w="729"/>
        <w:gridCol w:w="729"/>
        <w:gridCol w:w="750"/>
        <w:gridCol w:w="750"/>
        <w:gridCol w:w="750"/>
        <w:gridCol w:w="784"/>
      </w:tblGrid>
      <w:tr>
        <w:tblPrEx>
          <w:tblCellMar>
            <w:top w:w="0" w:type="dxa"/>
            <w:left w:w="108" w:type="dxa"/>
            <w:bottom w:w="0" w:type="dxa"/>
            <w:right w:w="108" w:type="dxa"/>
          </w:tblCellMar>
        </w:tblPrEx>
        <w:trPr>
          <w:trHeight w:val="90" w:hRule="atLeast"/>
          <w:jc w:val="center"/>
        </w:trPr>
        <w:tc>
          <w:tcPr>
            <w:tcW w:w="65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kern w:val="2"/>
                <w:sz w:val="18"/>
                <w:szCs w:val="18"/>
                <w:highlight w:val="none"/>
                <w:u w:val="none"/>
                <w:lang w:val="en-US" w:eastAsia="zh-CN" w:bidi="ar"/>
              </w:rPr>
              <w:t>站点</w:t>
            </w:r>
          </w:p>
        </w:tc>
        <w:tc>
          <w:tcPr>
            <w:tcW w:w="4348" w:type="pct"/>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auto"/>
                <w:kern w:val="2"/>
                <w:sz w:val="18"/>
                <w:szCs w:val="18"/>
                <w:highlight w:val="none"/>
                <w:u w:val="none"/>
                <w:lang w:bidi="ar"/>
              </w:rPr>
            </w:pPr>
            <w:r>
              <w:rPr>
                <w:rFonts w:hint="eastAsia" w:ascii="仿宋_GB2312" w:hAnsi="仿宋_GB2312" w:eastAsia="仿宋_GB2312" w:cs="仿宋_GB2312"/>
                <w:i w:val="0"/>
                <w:iCs w:val="0"/>
                <w:color w:val="auto"/>
                <w:kern w:val="2"/>
                <w:sz w:val="18"/>
                <w:szCs w:val="18"/>
                <w:highlight w:val="none"/>
                <w:u w:val="none"/>
                <w:lang w:val="en-US" w:eastAsia="zh-CN" w:bidi="ar"/>
              </w:rPr>
              <w:t>年度租金价值占比</w:t>
            </w:r>
          </w:p>
        </w:tc>
      </w:tr>
      <w:tr>
        <w:tblPrEx>
          <w:tblCellMar>
            <w:top w:w="0" w:type="dxa"/>
            <w:left w:w="108" w:type="dxa"/>
            <w:bottom w:w="0" w:type="dxa"/>
            <w:right w:w="108" w:type="dxa"/>
          </w:tblCellMar>
        </w:tblPrEx>
        <w:trPr>
          <w:trHeight w:val="90" w:hRule="atLeast"/>
          <w:jc w:val="center"/>
        </w:trPr>
        <w:tc>
          <w:tcPr>
            <w:tcW w:w="65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auto"/>
                <w:sz w:val="18"/>
                <w:szCs w:val="18"/>
                <w:highlight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auto"/>
                <w:kern w:val="2"/>
                <w:sz w:val="18"/>
                <w:szCs w:val="18"/>
                <w:highlight w:val="none"/>
                <w:u w:val="none"/>
                <w:lang w:bidi="ar"/>
              </w:rPr>
            </w:pPr>
            <w:r>
              <w:rPr>
                <w:rFonts w:hint="eastAsia" w:ascii="仿宋_GB2312" w:hAnsi="仿宋_GB2312" w:eastAsia="仿宋_GB2312" w:cs="仿宋_GB2312"/>
                <w:color w:val="auto"/>
                <w:kern w:val="2"/>
                <w:sz w:val="18"/>
                <w:szCs w:val="18"/>
                <w:highlight w:val="none"/>
                <w:lang w:val="en-US" w:eastAsia="zh-CN" w:bidi="ar"/>
              </w:rPr>
              <w:t>第一年</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auto"/>
                <w:kern w:val="2"/>
                <w:sz w:val="18"/>
                <w:szCs w:val="18"/>
                <w:highlight w:val="none"/>
                <w:u w:val="none"/>
                <w:lang w:bidi="ar"/>
              </w:rPr>
            </w:pPr>
            <w:r>
              <w:rPr>
                <w:rFonts w:hint="eastAsia" w:ascii="仿宋_GB2312" w:hAnsi="仿宋_GB2312" w:eastAsia="仿宋_GB2312" w:cs="仿宋_GB2312"/>
                <w:color w:val="auto"/>
                <w:kern w:val="2"/>
                <w:sz w:val="18"/>
                <w:szCs w:val="18"/>
                <w:highlight w:val="none"/>
                <w:lang w:val="en-US" w:eastAsia="zh-CN" w:bidi="ar"/>
              </w:rPr>
              <w:t>第二年</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auto"/>
                <w:kern w:val="2"/>
                <w:sz w:val="18"/>
                <w:szCs w:val="18"/>
                <w:highlight w:val="none"/>
                <w:u w:val="none"/>
                <w:lang w:bidi="ar"/>
              </w:rPr>
            </w:pPr>
            <w:r>
              <w:rPr>
                <w:rFonts w:hint="eastAsia" w:ascii="仿宋_GB2312" w:hAnsi="仿宋_GB2312" w:eastAsia="仿宋_GB2312" w:cs="仿宋_GB2312"/>
                <w:color w:val="auto"/>
                <w:kern w:val="2"/>
                <w:sz w:val="18"/>
                <w:szCs w:val="18"/>
                <w:highlight w:val="none"/>
                <w:lang w:val="en-US" w:eastAsia="zh-CN" w:bidi="ar"/>
              </w:rPr>
              <w:t>第三年</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auto"/>
                <w:kern w:val="2"/>
                <w:sz w:val="18"/>
                <w:szCs w:val="18"/>
                <w:highlight w:val="none"/>
                <w:u w:val="none"/>
                <w:lang w:bidi="ar"/>
              </w:rPr>
            </w:pPr>
            <w:r>
              <w:rPr>
                <w:rFonts w:hint="eastAsia" w:ascii="仿宋_GB2312" w:hAnsi="仿宋_GB2312" w:eastAsia="仿宋_GB2312" w:cs="仿宋_GB2312"/>
                <w:color w:val="auto"/>
                <w:kern w:val="2"/>
                <w:sz w:val="18"/>
                <w:szCs w:val="18"/>
                <w:highlight w:val="none"/>
                <w:lang w:val="en-US" w:eastAsia="zh-CN" w:bidi="ar"/>
              </w:rPr>
              <w:t>第四年</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auto"/>
                <w:kern w:val="2"/>
                <w:sz w:val="18"/>
                <w:szCs w:val="18"/>
                <w:highlight w:val="none"/>
                <w:u w:val="none"/>
                <w:lang w:bidi="ar"/>
              </w:rPr>
            </w:pPr>
            <w:r>
              <w:rPr>
                <w:rFonts w:hint="eastAsia" w:ascii="仿宋_GB2312" w:hAnsi="仿宋_GB2312" w:eastAsia="仿宋_GB2312" w:cs="仿宋_GB2312"/>
                <w:color w:val="auto"/>
                <w:kern w:val="2"/>
                <w:sz w:val="18"/>
                <w:szCs w:val="18"/>
                <w:highlight w:val="none"/>
                <w:lang w:val="en-US" w:eastAsia="zh-CN" w:bidi="ar"/>
              </w:rPr>
              <w:t>第五年</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auto"/>
                <w:kern w:val="2"/>
                <w:sz w:val="18"/>
                <w:szCs w:val="18"/>
                <w:highlight w:val="none"/>
                <w:u w:val="none"/>
                <w:lang w:bidi="ar"/>
              </w:rPr>
            </w:pPr>
            <w:r>
              <w:rPr>
                <w:rFonts w:hint="eastAsia" w:ascii="仿宋_GB2312" w:hAnsi="仿宋_GB2312" w:eastAsia="仿宋_GB2312" w:cs="仿宋_GB2312"/>
                <w:color w:val="auto"/>
                <w:kern w:val="2"/>
                <w:sz w:val="18"/>
                <w:szCs w:val="18"/>
                <w:highlight w:val="none"/>
                <w:lang w:val="en-US" w:eastAsia="zh-CN" w:bidi="ar"/>
              </w:rPr>
              <w:t>第六年</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auto"/>
                <w:kern w:val="2"/>
                <w:sz w:val="18"/>
                <w:szCs w:val="18"/>
                <w:highlight w:val="none"/>
                <w:u w:val="none"/>
                <w:lang w:bidi="ar"/>
              </w:rPr>
            </w:pPr>
            <w:r>
              <w:rPr>
                <w:rFonts w:hint="eastAsia" w:ascii="仿宋_GB2312" w:hAnsi="仿宋_GB2312" w:eastAsia="仿宋_GB2312" w:cs="仿宋_GB2312"/>
                <w:color w:val="auto"/>
                <w:kern w:val="2"/>
                <w:sz w:val="18"/>
                <w:szCs w:val="18"/>
                <w:highlight w:val="none"/>
                <w:lang w:val="en-US" w:eastAsia="zh-CN" w:bidi="ar"/>
              </w:rPr>
              <w:t>第七年</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auto"/>
                <w:kern w:val="2"/>
                <w:sz w:val="18"/>
                <w:szCs w:val="18"/>
                <w:highlight w:val="none"/>
                <w:u w:val="none"/>
                <w:lang w:bidi="ar"/>
              </w:rPr>
            </w:pPr>
            <w:r>
              <w:rPr>
                <w:rFonts w:hint="eastAsia" w:ascii="仿宋_GB2312" w:hAnsi="仿宋_GB2312" w:eastAsia="仿宋_GB2312" w:cs="仿宋_GB2312"/>
                <w:color w:val="auto"/>
                <w:kern w:val="2"/>
                <w:sz w:val="18"/>
                <w:szCs w:val="18"/>
                <w:highlight w:val="none"/>
                <w:lang w:val="en-US" w:eastAsia="zh-CN" w:bidi="ar"/>
              </w:rPr>
              <w:t>第八年</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auto"/>
                <w:kern w:val="2"/>
                <w:sz w:val="18"/>
                <w:szCs w:val="18"/>
                <w:highlight w:val="none"/>
                <w:u w:val="none"/>
                <w:lang w:bidi="ar"/>
              </w:rPr>
            </w:pPr>
            <w:r>
              <w:rPr>
                <w:rFonts w:hint="eastAsia" w:ascii="仿宋_GB2312" w:hAnsi="仿宋_GB2312" w:eastAsia="仿宋_GB2312" w:cs="仿宋_GB2312"/>
                <w:color w:val="auto"/>
                <w:kern w:val="2"/>
                <w:sz w:val="18"/>
                <w:szCs w:val="18"/>
                <w:highlight w:val="none"/>
                <w:lang w:val="en-US" w:eastAsia="zh-CN" w:bidi="ar"/>
              </w:rPr>
              <w:t>第九年</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auto"/>
                <w:kern w:val="2"/>
                <w:sz w:val="18"/>
                <w:szCs w:val="18"/>
                <w:highlight w:val="none"/>
                <w:u w:val="none"/>
                <w:lang w:bidi="ar"/>
              </w:rPr>
            </w:pPr>
            <w:r>
              <w:rPr>
                <w:rFonts w:hint="eastAsia" w:ascii="仿宋_GB2312" w:hAnsi="仿宋_GB2312" w:eastAsia="仿宋_GB2312" w:cs="仿宋_GB2312"/>
                <w:color w:val="auto"/>
                <w:kern w:val="2"/>
                <w:sz w:val="18"/>
                <w:szCs w:val="18"/>
                <w:highlight w:val="none"/>
                <w:lang w:val="en-US" w:eastAsia="zh-CN" w:bidi="ar"/>
              </w:rPr>
              <w:t>第十年</w:t>
            </w:r>
          </w:p>
        </w:tc>
      </w:tr>
      <w:tr>
        <w:tblPrEx>
          <w:tblCellMar>
            <w:top w:w="0" w:type="dxa"/>
            <w:left w:w="108" w:type="dxa"/>
            <w:bottom w:w="0" w:type="dxa"/>
            <w:right w:w="108" w:type="dxa"/>
          </w:tblCellMar>
        </w:tblPrEx>
        <w:trPr>
          <w:trHeight w:val="90" w:hRule="atLeast"/>
          <w:jc w:val="center"/>
        </w:trPr>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贵阳火车站</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18"/>
                <w:szCs w:val="18"/>
                <w:highlight w:val="none"/>
                <w:lang w:bidi="ar"/>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18"/>
                <w:szCs w:val="18"/>
                <w:highlight w:val="none"/>
                <w:lang w:bidi="ar"/>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18"/>
                <w:szCs w:val="18"/>
                <w:highlight w:val="none"/>
                <w:lang w:bidi="ar"/>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18"/>
                <w:szCs w:val="18"/>
                <w:highlight w:val="none"/>
                <w:lang w:bidi="ar"/>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18"/>
                <w:szCs w:val="18"/>
                <w:highlight w:val="none"/>
                <w:lang w:bidi="ar"/>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18"/>
                <w:szCs w:val="18"/>
                <w:highlight w:val="none"/>
                <w:lang w:bidi="ar"/>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18"/>
                <w:szCs w:val="18"/>
                <w:highlight w:val="none"/>
                <w:lang w:bidi="ar"/>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18"/>
                <w:szCs w:val="18"/>
                <w:highlight w:val="none"/>
                <w:lang w:bidi="ar"/>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18"/>
                <w:szCs w:val="18"/>
                <w:highlight w:val="none"/>
                <w:lang w:bidi="ar"/>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18"/>
                <w:szCs w:val="18"/>
                <w:highlight w:val="none"/>
                <w:lang w:bidi="ar"/>
              </w:rPr>
            </w:pPr>
          </w:p>
        </w:tc>
      </w:tr>
    </w:tbl>
    <w:p>
      <w:pPr>
        <w:overflowPunct w:val="0"/>
        <w:autoSpaceDE w:val="0"/>
        <w:ind w:firstLine="478" w:firstLineChars="171"/>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7.2.1 《租金占比表》为租金评估报告中该物业空间各年度租金占10年总租金的比值。</w:t>
      </w:r>
    </w:p>
    <w:p>
      <w:pPr>
        <w:overflowPunct w:val="0"/>
        <w:autoSpaceDE w:val="0"/>
        <w:ind w:firstLine="478" w:firstLineChars="171"/>
        <w:rPr>
          <w:rFonts w:hint="default"/>
          <w:lang w:val="en-US" w:eastAsia="zh-CN"/>
        </w:rPr>
      </w:pPr>
      <w:r>
        <w:rPr>
          <w:rFonts w:hint="eastAsia" w:ascii="仿宋_GB2312" w:hAnsi="仿宋_GB2312" w:eastAsia="仿宋_GB2312" w:cs="仿宋_GB2312"/>
          <w:color w:val="auto"/>
          <w:kern w:val="0"/>
          <w:sz w:val="28"/>
          <w:szCs w:val="28"/>
          <w:highlight w:val="none"/>
          <w:lang w:val="en-US" w:eastAsia="zh-CN"/>
        </w:rPr>
        <w:t>7.2.2 将成交价按照《租金占比表》的比值分摊到对应的租赁年度，计算得到各租赁年度租金如下表。</w:t>
      </w:r>
    </w:p>
    <w:p>
      <w:pPr>
        <w:tabs>
          <w:tab w:val="left" w:pos="900"/>
        </w:tabs>
        <w:spacing w:line="360" w:lineRule="auto"/>
        <w:ind w:right="48" w:rightChars="20" w:firstLine="0" w:firstLineChars="0"/>
        <w:jc w:val="center"/>
        <w:outlineLvl w:val="0"/>
        <w:rPr>
          <w:rFonts w:ascii="仿宋" w:hAnsi="仿宋" w:eastAsia="仿宋" w:cs="仿宋"/>
          <w:color w:val="auto"/>
          <w:kern w:val="0"/>
          <w:highlight w:val="none"/>
          <w:u w:val="single"/>
        </w:rPr>
      </w:pPr>
      <w:r>
        <w:rPr>
          <w:rFonts w:hint="eastAsia" w:ascii="仿宋_GB2312" w:hAnsi="仿宋_GB2312" w:eastAsia="仿宋_GB2312" w:cs="仿宋_GB2312"/>
          <w:b/>
          <w:bCs/>
          <w:color w:val="auto"/>
          <w:kern w:val="2"/>
          <w:sz w:val="28"/>
          <w:szCs w:val="28"/>
          <w:highlight w:val="none"/>
        </w:rPr>
        <w:t>租金汇总表</w:t>
      </w:r>
      <w:r>
        <w:rPr>
          <w:rFonts w:ascii="仿宋" w:hAnsi="仿宋" w:eastAsia="仿宋" w:cs="仿宋"/>
          <w:b/>
          <w:bCs/>
          <w:color w:val="auto"/>
          <w:kern w:val="0"/>
          <w:szCs w:val="28"/>
          <w:highlight w:val="none"/>
        </w:rPr>
        <w:t xml:space="preserve"> </w:t>
      </w:r>
      <w:r>
        <w:rPr>
          <w:rFonts w:hint="eastAsia" w:ascii="仿宋_GB2312" w:hAnsi="仿宋_GB2312" w:eastAsia="仿宋_GB2312" w:cs="仿宋_GB2312"/>
          <w:b w:val="0"/>
          <w:bCs w:val="0"/>
          <w:color w:val="auto"/>
          <w:kern w:val="2"/>
          <w:sz w:val="28"/>
          <w:szCs w:val="28"/>
          <w:highlight w:val="none"/>
          <w:lang w:eastAsia="zh-CN"/>
        </w:rPr>
        <w:t>（</w:t>
      </w:r>
      <w:r>
        <w:rPr>
          <w:rFonts w:hint="eastAsia" w:ascii="仿宋_GB2312" w:hAnsi="仿宋_GB2312" w:eastAsia="仿宋_GB2312" w:cs="仿宋_GB2312"/>
          <w:color w:val="auto"/>
          <w:kern w:val="2"/>
          <w:sz w:val="28"/>
          <w:szCs w:val="28"/>
          <w:highlight w:val="none"/>
          <w:lang w:bidi="ar"/>
        </w:rPr>
        <w:t>单位：万元</w:t>
      </w:r>
      <w:r>
        <w:rPr>
          <w:rFonts w:hint="eastAsia" w:ascii="仿宋_GB2312" w:hAnsi="仿宋_GB2312" w:eastAsia="仿宋_GB2312" w:cs="仿宋_GB2312"/>
          <w:b w:val="0"/>
          <w:bCs w:val="0"/>
          <w:color w:val="auto"/>
          <w:kern w:val="2"/>
          <w:sz w:val="28"/>
          <w:szCs w:val="28"/>
          <w:highlight w:val="none"/>
          <w:lang w:eastAsia="zh-CN"/>
        </w:rPr>
        <w:t>）</w:t>
      </w:r>
      <w:r>
        <w:rPr>
          <w:rFonts w:ascii="仿宋" w:hAnsi="仿宋" w:eastAsia="仿宋" w:cs="仿宋"/>
          <w:b/>
          <w:bCs/>
          <w:color w:val="auto"/>
          <w:kern w:val="0"/>
          <w:szCs w:val="28"/>
          <w:highlight w:val="none"/>
        </w:rPr>
        <w:t xml:space="preserve">             </w:t>
      </w:r>
    </w:p>
    <w:tbl>
      <w:tblPr>
        <w:tblStyle w:val="14"/>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48"/>
        <w:gridCol w:w="699"/>
        <w:gridCol w:w="774"/>
        <w:gridCol w:w="774"/>
        <w:gridCol w:w="774"/>
        <w:gridCol w:w="774"/>
        <w:gridCol w:w="774"/>
        <w:gridCol w:w="774"/>
        <w:gridCol w:w="774"/>
        <w:gridCol w:w="774"/>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7" w:hRule="atLeast"/>
          <w:jc w:val="center"/>
        </w:trPr>
        <w:tc>
          <w:tcPr>
            <w:tcW w:w="498" w:type="pct"/>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auto"/>
                <w:sz w:val="16"/>
                <w:szCs w:val="16"/>
                <w:u w:val="none"/>
              </w:rPr>
            </w:pPr>
            <w:r>
              <w:rPr>
                <w:rFonts w:hint="default" w:ascii="仿宋_GB2312" w:hAnsi="宋体" w:eastAsia="仿宋_GB2312" w:cs="仿宋_GB2312"/>
                <w:i w:val="0"/>
                <w:iCs w:val="0"/>
                <w:color w:val="auto"/>
                <w:kern w:val="0"/>
                <w:sz w:val="16"/>
                <w:szCs w:val="16"/>
                <w:u w:val="none"/>
                <w:lang w:val="en-US" w:eastAsia="zh-CN" w:bidi="ar"/>
              </w:rPr>
              <w:t>项目</w:t>
            </w:r>
          </w:p>
        </w:tc>
        <w:tc>
          <w:tcPr>
            <w:tcW w:w="410" w:type="pct"/>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16"/>
                <w:szCs w:val="16"/>
                <w:u w:val="none"/>
              </w:rPr>
            </w:pPr>
            <w:r>
              <w:rPr>
                <w:rFonts w:hint="default" w:ascii="仿宋_GB2312" w:hAnsi="宋体" w:eastAsia="仿宋_GB2312" w:cs="仿宋_GB2312"/>
                <w:i w:val="0"/>
                <w:iCs w:val="0"/>
                <w:color w:val="auto"/>
                <w:kern w:val="0"/>
                <w:sz w:val="16"/>
                <w:szCs w:val="16"/>
                <w:u w:val="none"/>
                <w:lang w:val="en-US" w:eastAsia="zh-CN" w:bidi="ar"/>
              </w:rPr>
              <w:t>第一年</w:t>
            </w:r>
          </w:p>
        </w:tc>
        <w:tc>
          <w:tcPr>
            <w:tcW w:w="454" w:type="pct"/>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16"/>
                <w:szCs w:val="16"/>
                <w:u w:val="none"/>
              </w:rPr>
            </w:pPr>
            <w:r>
              <w:rPr>
                <w:rFonts w:hint="default" w:ascii="仿宋_GB2312" w:hAnsi="宋体" w:eastAsia="仿宋_GB2312" w:cs="仿宋_GB2312"/>
                <w:i w:val="0"/>
                <w:iCs w:val="0"/>
                <w:color w:val="auto"/>
                <w:kern w:val="0"/>
                <w:sz w:val="16"/>
                <w:szCs w:val="16"/>
                <w:u w:val="none"/>
                <w:lang w:val="en-US" w:eastAsia="zh-CN" w:bidi="ar"/>
              </w:rPr>
              <w:t>第二年</w:t>
            </w:r>
          </w:p>
        </w:tc>
        <w:tc>
          <w:tcPr>
            <w:tcW w:w="454" w:type="pct"/>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16"/>
                <w:szCs w:val="16"/>
                <w:u w:val="none"/>
              </w:rPr>
            </w:pPr>
            <w:r>
              <w:rPr>
                <w:rFonts w:hint="default" w:ascii="仿宋_GB2312" w:hAnsi="宋体" w:eastAsia="仿宋_GB2312" w:cs="仿宋_GB2312"/>
                <w:i w:val="0"/>
                <w:iCs w:val="0"/>
                <w:color w:val="auto"/>
                <w:kern w:val="0"/>
                <w:sz w:val="16"/>
                <w:szCs w:val="16"/>
                <w:u w:val="none"/>
                <w:lang w:val="en-US" w:eastAsia="zh-CN" w:bidi="ar"/>
              </w:rPr>
              <w:t>第三年</w:t>
            </w:r>
          </w:p>
        </w:tc>
        <w:tc>
          <w:tcPr>
            <w:tcW w:w="454" w:type="pct"/>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16"/>
                <w:szCs w:val="16"/>
                <w:u w:val="none"/>
              </w:rPr>
            </w:pPr>
            <w:r>
              <w:rPr>
                <w:rFonts w:hint="default" w:ascii="仿宋_GB2312" w:hAnsi="宋体" w:eastAsia="仿宋_GB2312" w:cs="仿宋_GB2312"/>
                <w:i w:val="0"/>
                <w:iCs w:val="0"/>
                <w:color w:val="auto"/>
                <w:kern w:val="0"/>
                <w:sz w:val="16"/>
                <w:szCs w:val="16"/>
                <w:u w:val="none"/>
                <w:lang w:val="en-US" w:eastAsia="zh-CN" w:bidi="ar"/>
              </w:rPr>
              <w:t>第四年</w:t>
            </w:r>
          </w:p>
        </w:tc>
        <w:tc>
          <w:tcPr>
            <w:tcW w:w="454" w:type="pct"/>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16"/>
                <w:szCs w:val="16"/>
                <w:u w:val="none"/>
              </w:rPr>
            </w:pPr>
            <w:r>
              <w:rPr>
                <w:rFonts w:hint="default" w:ascii="仿宋_GB2312" w:hAnsi="宋体" w:eastAsia="仿宋_GB2312" w:cs="仿宋_GB2312"/>
                <w:i w:val="0"/>
                <w:iCs w:val="0"/>
                <w:color w:val="auto"/>
                <w:kern w:val="0"/>
                <w:sz w:val="16"/>
                <w:szCs w:val="16"/>
                <w:u w:val="none"/>
                <w:lang w:val="en-US" w:eastAsia="zh-CN" w:bidi="ar"/>
              </w:rPr>
              <w:t>第五年</w:t>
            </w:r>
          </w:p>
        </w:tc>
        <w:tc>
          <w:tcPr>
            <w:tcW w:w="454" w:type="pct"/>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16"/>
                <w:szCs w:val="16"/>
                <w:u w:val="none"/>
              </w:rPr>
            </w:pPr>
            <w:r>
              <w:rPr>
                <w:rFonts w:hint="default" w:ascii="仿宋_GB2312" w:hAnsi="宋体" w:eastAsia="仿宋_GB2312" w:cs="仿宋_GB2312"/>
                <w:i w:val="0"/>
                <w:iCs w:val="0"/>
                <w:color w:val="auto"/>
                <w:kern w:val="0"/>
                <w:sz w:val="16"/>
                <w:szCs w:val="16"/>
                <w:u w:val="none"/>
                <w:lang w:val="en-US" w:eastAsia="zh-CN" w:bidi="ar"/>
              </w:rPr>
              <w:t>第六年</w:t>
            </w:r>
          </w:p>
        </w:tc>
        <w:tc>
          <w:tcPr>
            <w:tcW w:w="454" w:type="pct"/>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16"/>
                <w:szCs w:val="16"/>
                <w:u w:val="none"/>
              </w:rPr>
            </w:pPr>
            <w:r>
              <w:rPr>
                <w:rFonts w:hint="default" w:ascii="仿宋_GB2312" w:hAnsi="宋体" w:eastAsia="仿宋_GB2312" w:cs="仿宋_GB2312"/>
                <w:i w:val="0"/>
                <w:iCs w:val="0"/>
                <w:color w:val="auto"/>
                <w:kern w:val="0"/>
                <w:sz w:val="16"/>
                <w:szCs w:val="16"/>
                <w:u w:val="none"/>
                <w:lang w:val="en-US" w:eastAsia="zh-CN" w:bidi="ar"/>
              </w:rPr>
              <w:t>第七年</w:t>
            </w:r>
          </w:p>
        </w:tc>
        <w:tc>
          <w:tcPr>
            <w:tcW w:w="454" w:type="pct"/>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16"/>
                <w:szCs w:val="16"/>
                <w:u w:val="none"/>
              </w:rPr>
            </w:pPr>
            <w:r>
              <w:rPr>
                <w:rFonts w:hint="default" w:ascii="仿宋_GB2312" w:hAnsi="宋体" w:eastAsia="仿宋_GB2312" w:cs="仿宋_GB2312"/>
                <w:i w:val="0"/>
                <w:iCs w:val="0"/>
                <w:color w:val="auto"/>
                <w:kern w:val="0"/>
                <w:sz w:val="16"/>
                <w:szCs w:val="16"/>
                <w:u w:val="none"/>
                <w:lang w:val="en-US" w:eastAsia="zh-CN" w:bidi="ar"/>
              </w:rPr>
              <w:t>第八年</w:t>
            </w:r>
          </w:p>
        </w:tc>
        <w:tc>
          <w:tcPr>
            <w:tcW w:w="454" w:type="pct"/>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16"/>
                <w:szCs w:val="16"/>
                <w:u w:val="none"/>
              </w:rPr>
            </w:pPr>
            <w:r>
              <w:rPr>
                <w:rFonts w:hint="default" w:ascii="仿宋_GB2312" w:hAnsi="宋体" w:eastAsia="仿宋_GB2312" w:cs="仿宋_GB2312"/>
                <w:i w:val="0"/>
                <w:iCs w:val="0"/>
                <w:color w:val="auto"/>
                <w:kern w:val="0"/>
                <w:sz w:val="16"/>
                <w:szCs w:val="16"/>
                <w:u w:val="none"/>
                <w:lang w:val="en-US" w:eastAsia="zh-CN" w:bidi="ar"/>
              </w:rPr>
              <w:t>第九年</w:t>
            </w:r>
          </w:p>
        </w:tc>
        <w:tc>
          <w:tcPr>
            <w:tcW w:w="454" w:type="pct"/>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16"/>
                <w:szCs w:val="16"/>
                <w:u w:val="none"/>
              </w:rPr>
            </w:pPr>
            <w:r>
              <w:rPr>
                <w:rFonts w:hint="default" w:ascii="仿宋_GB2312" w:hAnsi="宋体" w:eastAsia="仿宋_GB2312" w:cs="仿宋_GB2312"/>
                <w:i w:val="0"/>
                <w:iCs w:val="0"/>
                <w:color w:val="auto"/>
                <w:kern w:val="0"/>
                <w:sz w:val="16"/>
                <w:szCs w:val="16"/>
                <w:u w:val="none"/>
                <w:lang w:val="en-US" w:eastAsia="zh-CN" w:bidi="ar"/>
              </w:rPr>
              <w:t>第十年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498" w:type="pct"/>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16"/>
                <w:szCs w:val="16"/>
                <w:u w:val="none"/>
              </w:rPr>
            </w:pPr>
            <w:r>
              <w:rPr>
                <w:rFonts w:hint="default" w:ascii="仿宋_GB2312" w:hAnsi="宋体" w:eastAsia="仿宋_GB2312" w:cs="仿宋_GB2312"/>
                <w:i w:val="0"/>
                <w:iCs w:val="0"/>
                <w:color w:val="auto"/>
                <w:kern w:val="0"/>
                <w:sz w:val="16"/>
                <w:szCs w:val="16"/>
                <w:u w:val="none"/>
                <w:lang w:val="en-US" w:eastAsia="zh-CN" w:bidi="ar"/>
              </w:rPr>
              <w:t>年度租金</w:t>
            </w:r>
          </w:p>
        </w:tc>
        <w:tc>
          <w:tcPr>
            <w:tcW w:w="410" w:type="pct"/>
            <w:shd w:val="clear" w:color="auto" w:fill="auto"/>
            <w:vAlign w:val="center"/>
          </w:tcPr>
          <w:p>
            <w:pPr>
              <w:jc w:val="center"/>
              <w:rPr>
                <w:rFonts w:hint="default" w:ascii="仿宋_GB2312" w:hAnsi="宋体" w:eastAsia="仿宋_GB2312" w:cs="仿宋_GB2312"/>
                <w:i w:val="0"/>
                <w:iCs w:val="0"/>
                <w:color w:val="auto"/>
                <w:sz w:val="16"/>
                <w:szCs w:val="16"/>
                <w:u w:val="none"/>
              </w:rPr>
            </w:pPr>
          </w:p>
        </w:tc>
        <w:tc>
          <w:tcPr>
            <w:tcW w:w="454" w:type="pct"/>
            <w:shd w:val="clear" w:color="auto" w:fill="auto"/>
            <w:vAlign w:val="center"/>
          </w:tcPr>
          <w:p>
            <w:pPr>
              <w:jc w:val="center"/>
              <w:rPr>
                <w:rFonts w:hint="default" w:ascii="仿宋_GB2312" w:hAnsi="宋体" w:eastAsia="仿宋_GB2312" w:cs="仿宋_GB2312"/>
                <w:i w:val="0"/>
                <w:iCs w:val="0"/>
                <w:color w:val="auto"/>
                <w:sz w:val="16"/>
                <w:szCs w:val="16"/>
                <w:u w:val="none"/>
              </w:rPr>
            </w:pPr>
          </w:p>
        </w:tc>
        <w:tc>
          <w:tcPr>
            <w:tcW w:w="454" w:type="pct"/>
            <w:shd w:val="clear" w:color="auto" w:fill="auto"/>
            <w:vAlign w:val="center"/>
          </w:tcPr>
          <w:p>
            <w:pPr>
              <w:jc w:val="center"/>
              <w:rPr>
                <w:rFonts w:hint="default" w:ascii="仿宋_GB2312" w:hAnsi="宋体" w:eastAsia="仿宋_GB2312" w:cs="仿宋_GB2312"/>
                <w:i w:val="0"/>
                <w:iCs w:val="0"/>
                <w:color w:val="auto"/>
                <w:sz w:val="16"/>
                <w:szCs w:val="16"/>
                <w:u w:val="none"/>
              </w:rPr>
            </w:pPr>
          </w:p>
        </w:tc>
        <w:tc>
          <w:tcPr>
            <w:tcW w:w="454" w:type="pct"/>
            <w:shd w:val="clear" w:color="auto" w:fill="auto"/>
            <w:vAlign w:val="center"/>
          </w:tcPr>
          <w:p>
            <w:pPr>
              <w:jc w:val="center"/>
              <w:rPr>
                <w:rFonts w:hint="default" w:ascii="仿宋_GB2312" w:hAnsi="宋体" w:eastAsia="仿宋_GB2312" w:cs="仿宋_GB2312"/>
                <w:i w:val="0"/>
                <w:iCs w:val="0"/>
                <w:color w:val="auto"/>
                <w:sz w:val="16"/>
                <w:szCs w:val="16"/>
                <w:u w:val="none"/>
              </w:rPr>
            </w:pPr>
          </w:p>
        </w:tc>
        <w:tc>
          <w:tcPr>
            <w:tcW w:w="454" w:type="pct"/>
            <w:shd w:val="clear" w:color="auto" w:fill="auto"/>
            <w:vAlign w:val="center"/>
          </w:tcPr>
          <w:p>
            <w:pPr>
              <w:jc w:val="center"/>
              <w:rPr>
                <w:rFonts w:hint="default" w:ascii="仿宋_GB2312" w:hAnsi="宋体" w:eastAsia="仿宋_GB2312" w:cs="仿宋_GB2312"/>
                <w:i w:val="0"/>
                <w:iCs w:val="0"/>
                <w:color w:val="auto"/>
                <w:sz w:val="16"/>
                <w:szCs w:val="16"/>
                <w:u w:val="none"/>
              </w:rPr>
            </w:pPr>
          </w:p>
        </w:tc>
        <w:tc>
          <w:tcPr>
            <w:tcW w:w="454" w:type="pct"/>
            <w:shd w:val="clear" w:color="auto" w:fill="auto"/>
            <w:vAlign w:val="center"/>
          </w:tcPr>
          <w:p>
            <w:pPr>
              <w:jc w:val="center"/>
              <w:rPr>
                <w:rFonts w:hint="default" w:ascii="仿宋_GB2312" w:hAnsi="宋体" w:eastAsia="仿宋_GB2312" w:cs="仿宋_GB2312"/>
                <w:i w:val="0"/>
                <w:iCs w:val="0"/>
                <w:color w:val="auto"/>
                <w:sz w:val="16"/>
                <w:szCs w:val="16"/>
                <w:u w:val="none"/>
              </w:rPr>
            </w:pPr>
          </w:p>
        </w:tc>
        <w:tc>
          <w:tcPr>
            <w:tcW w:w="454" w:type="pct"/>
            <w:shd w:val="clear" w:color="auto" w:fill="auto"/>
            <w:vAlign w:val="center"/>
          </w:tcPr>
          <w:p>
            <w:pPr>
              <w:jc w:val="center"/>
              <w:rPr>
                <w:rFonts w:hint="default" w:ascii="仿宋_GB2312" w:hAnsi="宋体" w:eastAsia="仿宋_GB2312" w:cs="仿宋_GB2312"/>
                <w:i w:val="0"/>
                <w:iCs w:val="0"/>
                <w:color w:val="auto"/>
                <w:sz w:val="16"/>
                <w:szCs w:val="16"/>
                <w:u w:val="none"/>
              </w:rPr>
            </w:pPr>
          </w:p>
        </w:tc>
        <w:tc>
          <w:tcPr>
            <w:tcW w:w="454" w:type="pct"/>
            <w:shd w:val="clear" w:color="auto" w:fill="auto"/>
            <w:vAlign w:val="center"/>
          </w:tcPr>
          <w:p>
            <w:pPr>
              <w:jc w:val="center"/>
              <w:rPr>
                <w:rFonts w:hint="default" w:ascii="仿宋_GB2312" w:hAnsi="宋体" w:eastAsia="仿宋_GB2312" w:cs="仿宋_GB2312"/>
                <w:i w:val="0"/>
                <w:iCs w:val="0"/>
                <w:color w:val="auto"/>
                <w:sz w:val="16"/>
                <w:szCs w:val="16"/>
                <w:u w:val="none"/>
              </w:rPr>
            </w:pPr>
          </w:p>
        </w:tc>
        <w:tc>
          <w:tcPr>
            <w:tcW w:w="454" w:type="pct"/>
            <w:shd w:val="clear" w:color="auto" w:fill="auto"/>
            <w:vAlign w:val="center"/>
          </w:tcPr>
          <w:p>
            <w:pPr>
              <w:jc w:val="center"/>
              <w:rPr>
                <w:rFonts w:hint="default" w:ascii="仿宋_GB2312" w:hAnsi="宋体" w:eastAsia="仿宋_GB2312" w:cs="仿宋_GB2312"/>
                <w:i w:val="0"/>
                <w:iCs w:val="0"/>
                <w:color w:val="auto"/>
                <w:sz w:val="16"/>
                <w:szCs w:val="16"/>
                <w:u w:val="none"/>
              </w:rPr>
            </w:pPr>
          </w:p>
        </w:tc>
        <w:tc>
          <w:tcPr>
            <w:tcW w:w="454" w:type="pct"/>
            <w:shd w:val="clear" w:color="auto" w:fill="auto"/>
            <w:vAlign w:val="center"/>
          </w:tcPr>
          <w:p>
            <w:pPr>
              <w:jc w:val="center"/>
              <w:rPr>
                <w:rFonts w:hint="default" w:ascii="仿宋_GB2312" w:hAnsi="宋体" w:eastAsia="仿宋_GB2312" w:cs="仿宋_GB2312"/>
                <w:i w:val="0"/>
                <w:iCs w:val="0"/>
                <w:color w:val="auto"/>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498" w:type="pct"/>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16"/>
                <w:szCs w:val="16"/>
                <w:u w:val="none"/>
              </w:rPr>
            </w:pPr>
            <w:r>
              <w:rPr>
                <w:rFonts w:hint="eastAsia" w:ascii="仿宋_GB2312" w:hAnsi="宋体" w:eastAsia="仿宋_GB2312" w:cs="仿宋_GB2312"/>
                <w:i w:val="0"/>
                <w:iCs w:val="0"/>
                <w:color w:val="auto"/>
                <w:kern w:val="0"/>
                <w:sz w:val="16"/>
                <w:szCs w:val="16"/>
                <w:u w:val="none"/>
                <w:lang w:val="en-US" w:eastAsia="zh-CN" w:bidi="ar"/>
              </w:rPr>
              <w:t>增长率</w:t>
            </w:r>
          </w:p>
        </w:tc>
        <w:tc>
          <w:tcPr>
            <w:tcW w:w="410" w:type="pct"/>
            <w:shd w:val="clear" w:color="auto" w:fill="auto"/>
            <w:vAlign w:val="center"/>
          </w:tcPr>
          <w:p>
            <w:pPr>
              <w:jc w:val="center"/>
              <w:rPr>
                <w:rFonts w:hint="default" w:ascii="仿宋_GB2312" w:hAnsi="宋体" w:eastAsia="仿宋_GB2312" w:cs="仿宋_GB2312"/>
                <w:i w:val="0"/>
                <w:iCs w:val="0"/>
                <w:color w:val="auto"/>
                <w:sz w:val="16"/>
                <w:szCs w:val="16"/>
                <w:u w:val="none"/>
              </w:rPr>
            </w:pPr>
          </w:p>
        </w:tc>
        <w:tc>
          <w:tcPr>
            <w:tcW w:w="454" w:type="pct"/>
            <w:shd w:val="clear" w:color="auto" w:fill="auto"/>
            <w:vAlign w:val="center"/>
          </w:tcPr>
          <w:p>
            <w:pPr>
              <w:jc w:val="center"/>
              <w:rPr>
                <w:rFonts w:hint="default" w:ascii="仿宋_GB2312" w:hAnsi="宋体" w:eastAsia="仿宋_GB2312" w:cs="仿宋_GB2312"/>
                <w:i w:val="0"/>
                <w:iCs w:val="0"/>
                <w:color w:val="auto"/>
                <w:sz w:val="16"/>
                <w:szCs w:val="16"/>
                <w:u w:val="none"/>
              </w:rPr>
            </w:pPr>
          </w:p>
        </w:tc>
        <w:tc>
          <w:tcPr>
            <w:tcW w:w="454" w:type="pct"/>
            <w:shd w:val="clear" w:color="auto" w:fill="auto"/>
            <w:vAlign w:val="center"/>
          </w:tcPr>
          <w:p>
            <w:pPr>
              <w:jc w:val="center"/>
              <w:rPr>
                <w:rFonts w:hint="default" w:ascii="仿宋_GB2312" w:hAnsi="宋体" w:eastAsia="仿宋_GB2312" w:cs="仿宋_GB2312"/>
                <w:i w:val="0"/>
                <w:iCs w:val="0"/>
                <w:color w:val="auto"/>
                <w:sz w:val="16"/>
                <w:szCs w:val="16"/>
                <w:u w:val="none"/>
              </w:rPr>
            </w:pPr>
          </w:p>
        </w:tc>
        <w:tc>
          <w:tcPr>
            <w:tcW w:w="454" w:type="pct"/>
            <w:shd w:val="clear" w:color="auto" w:fill="auto"/>
            <w:vAlign w:val="center"/>
          </w:tcPr>
          <w:p>
            <w:pPr>
              <w:jc w:val="center"/>
              <w:rPr>
                <w:rFonts w:hint="default" w:ascii="仿宋_GB2312" w:hAnsi="宋体" w:eastAsia="仿宋_GB2312" w:cs="仿宋_GB2312"/>
                <w:i w:val="0"/>
                <w:iCs w:val="0"/>
                <w:color w:val="auto"/>
                <w:sz w:val="16"/>
                <w:szCs w:val="16"/>
                <w:u w:val="none"/>
              </w:rPr>
            </w:pPr>
          </w:p>
        </w:tc>
        <w:tc>
          <w:tcPr>
            <w:tcW w:w="454" w:type="pct"/>
            <w:shd w:val="clear" w:color="auto" w:fill="auto"/>
            <w:vAlign w:val="center"/>
          </w:tcPr>
          <w:p>
            <w:pPr>
              <w:jc w:val="center"/>
              <w:rPr>
                <w:rFonts w:hint="default" w:ascii="仿宋_GB2312" w:hAnsi="宋体" w:eastAsia="仿宋_GB2312" w:cs="仿宋_GB2312"/>
                <w:i w:val="0"/>
                <w:iCs w:val="0"/>
                <w:color w:val="auto"/>
                <w:sz w:val="16"/>
                <w:szCs w:val="16"/>
                <w:u w:val="none"/>
              </w:rPr>
            </w:pPr>
          </w:p>
        </w:tc>
        <w:tc>
          <w:tcPr>
            <w:tcW w:w="454" w:type="pct"/>
            <w:shd w:val="clear" w:color="auto" w:fill="auto"/>
            <w:vAlign w:val="center"/>
          </w:tcPr>
          <w:p>
            <w:pPr>
              <w:jc w:val="center"/>
              <w:rPr>
                <w:rFonts w:hint="default" w:ascii="仿宋_GB2312" w:hAnsi="宋体" w:eastAsia="仿宋_GB2312" w:cs="仿宋_GB2312"/>
                <w:i w:val="0"/>
                <w:iCs w:val="0"/>
                <w:color w:val="auto"/>
                <w:sz w:val="16"/>
                <w:szCs w:val="16"/>
                <w:u w:val="none"/>
              </w:rPr>
            </w:pPr>
          </w:p>
        </w:tc>
        <w:tc>
          <w:tcPr>
            <w:tcW w:w="454" w:type="pct"/>
            <w:shd w:val="clear" w:color="auto" w:fill="auto"/>
            <w:vAlign w:val="center"/>
          </w:tcPr>
          <w:p>
            <w:pPr>
              <w:jc w:val="center"/>
              <w:rPr>
                <w:rFonts w:hint="default" w:ascii="仿宋_GB2312" w:hAnsi="宋体" w:eastAsia="仿宋_GB2312" w:cs="仿宋_GB2312"/>
                <w:i w:val="0"/>
                <w:iCs w:val="0"/>
                <w:color w:val="auto"/>
                <w:sz w:val="16"/>
                <w:szCs w:val="16"/>
                <w:u w:val="none"/>
              </w:rPr>
            </w:pPr>
          </w:p>
        </w:tc>
        <w:tc>
          <w:tcPr>
            <w:tcW w:w="454" w:type="pct"/>
            <w:shd w:val="clear" w:color="auto" w:fill="auto"/>
            <w:vAlign w:val="center"/>
          </w:tcPr>
          <w:p>
            <w:pPr>
              <w:jc w:val="center"/>
              <w:rPr>
                <w:rFonts w:hint="default" w:ascii="仿宋_GB2312" w:hAnsi="宋体" w:eastAsia="仿宋_GB2312" w:cs="仿宋_GB2312"/>
                <w:i w:val="0"/>
                <w:iCs w:val="0"/>
                <w:color w:val="auto"/>
                <w:sz w:val="16"/>
                <w:szCs w:val="16"/>
                <w:u w:val="none"/>
              </w:rPr>
            </w:pPr>
          </w:p>
        </w:tc>
        <w:tc>
          <w:tcPr>
            <w:tcW w:w="454" w:type="pct"/>
            <w:shd w:val="clear" w:color="auto" w:fill="auto"/>
            <w:vAlign w:val="center"/>
          </w:tcPr>
          <w:p>
            <w:pPr>
              <w:jc w:val="center"/>
              <w:rPr>
                <w:rFonts w:hint="default" w:ascii="仿宋_GB2312" w:hAnsi="宋体" w:eastAsia="仿宋_GB2312" w:cs="仿宋_GB2312"/>
                <w:i w:val="0"/>
                <w:iCs w:val="0"/>
                <w:color w:val="auto"/>
                <w:sz w:val="16"/>
                <w:szCs w:val="16"/>
                <w:u w:val="none"/>
              </w:rPr>
            </w:pPr>
          </w:p>
        </w:tc>
        <w:tc>
          <w:tcPr>
            <w:tcW w:w="454" w:type="pct"/>
            <w:shd w:val="clear" w:color="auto" w:fill="auto"/>
            <w:vAlign w:val="center"/>
          </w:tcPr>
          <w:p>
            <w:pPr>
              <w:jc w:val="center"/>
              <w:rPr>
                <w:rFonts w:hint="default" w:ascii="仿宋_GB2312" w:hAnsi="宋体" w:eastAsia="仿宋_GB2312" w:cs="仿宋_GB2312"/>
                <w:i w:val="0"/>
                <w:iCs w:val="0"/>
                <w:color w:val="auto"/>
                <w:sz w:val="16"/>
                <w:szCs w:val="16"/>
                <w:u w:val="none"/>
              </w:rPr>
            </w:pPr>
          </w:p>
        </w:tc>
      </w:tr>
    </w:tbl>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注：如因特殊原因导致物业空间租赁期限超过10年的，后续租赁年度租金在上一年度基础上每年递增5%。</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7.3 租金计算及收取方式</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7.3.1 租金采取预收方式，每年收取一次。</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7.3.2 第一</w:t>
      </w:r>
      <w:r>
        <w:rPr>
          <w:rFonts w:hint="default" w:ascii="仿宋_GB2312" w:hAnsi="仿宋_GB2312" w:eastAsia="仿宋_GB2312" w:cs="仿宋_GB2312"/>
          <w:color w:val="auto"/>
          <w:kern w:val="0"/>
          <w:sz w:val="28"/>
          <w:szCs w:val="28"/>
          <w:highlight w:val="none"/>
          <w:lang w:val="en-US" w:eastAsia="zh-CN"/>
        </w:rPr>
        <w:t>期</w:t>
      </w:r>
      <w:r>
        <w:rPr>
          <w:rFonts w:hint="eastAsia" w:ascii="仿宋_GB2312" w:hAnsi="仿宋_GB2312" w:eastAsia="仿宋_GB2312" w:cs="仿宋_GB2312"/>
          <w:color w:val="auto"/>
          <w:kern w:val="0"/>
          <w:sz w:val="28"/>
          <w:szCs w:val="28"/>
          <w:highlight w:val="none"/>
          <w:lang w:val="en-US" w:eastAsia="zh-CN"/>
        </w:rPr>
        <w:t>租金的收取：乙方须在租赁合同生效后20个工作日内缴纳第一</w:t>
      </w:r>
      <w:r>
        <w:rPr>
          <w:rFonts w:hint="default" w:ascii="仿宋_GB2312" w:hAnsi="仿宋_GB2312" w:eastAsia="仿宋_GB2312" w:cs="仿宋_GB2312"/>
          <w:color w:val="auto"/>
          <w:kern w:val="0"/>
          <w:sz w:val="28"/>
          <w:szCs w:val="28"/>
          <w:highlight w:val="none"/>
          <w:lang w:val="en-US" w:eastAsia="zh-CN"/>
        </w:rPr>
        <w:t>期</w:t>
      </w:r>
      <w:r>
        <w:rPr>
          <w:rFonts w:hint="eastAsia" w:ascii="仿宋_GB2312" w:hAnsi="仿宋_GB2312" w:eastAsia="仿宋_GB2312" w:cs="仿宋_GB2312"/>
          <w:color w:val="auto"/>
          <w:kern w:val="0"/>
          <w:sz w:val="28"/>
          <w:szCs w:val="28"/>
          <w:highlight w:val="none"/>
          <w:lang w:val="en-US" w:eastAsia="zh-CN"/>
        </w:rPr>
        <w:t>租金。</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7.3.3 第二</w:t>
      </w:r>
      <w:r>
        <w:rPr>
          <w:rFonts w:hint="default" w:ascii="仿宋_GB2312" w:hAnsi="仿宋_GB2312" w:eastAsia="仿宋_GB2312" w:cs="仿宋_GB2312"/>
          <w:color w:val="auto"/>
          <w:kern w:val="0"/>
          <w:sz w:val="28"/>
          <w:szCs w:val="28"/>
          <w:highlight w:val="none"/>
          <w:lang w:val="en-US" w:eastAsia="zh-CN"/>
        </w:rPr>
        <w:t>期</w:t>
      </w:r>
      <w:r>
        <w:rPr>
          <w:rFonts w:hint="eastAsia" w:ascii="仿宋_GB2312" w:hAnsi="仿宋_GB2312" w:eastAsia="仿宋_GB2312" w:cs="仿宋_GB2312"/>
          <w:color w:val="auto"/>
          <w:kern w:val="0"/>
          <w:sz w:val="28"/>
          <w:szCs w:val="28"/>
          <w:highlight w:val="none"/>
          <w:lang w:val="en-US" w:eastAsia="zh-CN"/>
        </w:rPr>
        <w:t>及后续租金的收取：乙方须在该物业空间的下一计租期开始时前20个工作日内将下一期租金转账至甲方指定账户。</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7.3.4 租金的计算方式：</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每一期应收租金为该物业空间对应的各租赁年度的租金。</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7.3.5 甲方收取租金的账号信息为：</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单位名称：</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开户行：</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账号：</w:t>
      </w:r>
    </w:p>
    <w:p>
      <w:pPr>
        <w:overflowPunct w:val="0"/>
        <w:autoSpaceDE w:val="0"/>
        <w:ind w:firstLine="562" w:firstLineChars="200"/>
        <w:rPr>
          <w:rFonts w:ascii="黑体" w:hAnsi="黑体" w:eastAsia="黑体" w:cs="仿宋_GB2312"/>
          <w:b/>
          <w:color w:val="auto"/>
          <w:kern w:val="0"/>
          <w:sz w:val="28"/>
          <w:szCs w:val="28"/>
          <w:highlight w:val="none"/>
        </w:rPr>
      </w:pPr>
      <w:r>
        <w:rPr>
          <w:rFonts w:hint="eastAsia" w:ascii="黑体" w:hAnsi="黑体" w:eastAsia="黑体" w:cs="仿宋_GB2312"/>
          <w:b/>
          <w:color w:val="auto"/>
          <w:kern w:val="0"/>
          <w:sz w:val="28"/>
          <w:szCs w:val="28"/>
          <w:highlight w:val="none"/>
        </w:rPr>
        <w:t>第八条 发票及税费</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8.1 甲方在收到乙方缴纳的租金后向乙方开具合法等额的增值税发票。</w:t>
      </w:r>
    </w:p>
    <w:p>
      <w:pPr>
        <w:overflowPunct w:val="0"/>
        <w:autoSpaceDE w:val="0"/>
        <w:ind w:firstLine="478" w:firstLineChars="171"/>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8.2 甲乙双方按照本合同执行时相关法律法规承担各自税费。</w:t>
      </w:r>
    </w:p>
    <w:p>
      <w:pPr>
        <w:overflowPunct w:val="0"/>
        <w:autoSpaceDE w:val="0"/>
        <w:ind w:firstLine="562" w:firstLineChars="200"/>
        <w:rPr>
          <w:rFonts w:ascii="黑体" w:hAnsi="黑体" w:eastAsia="黑体" w:cs="仿宋_GB2312"/>
          <w:b/>
          <w:color w:val="auto"/>
          <w:kern w:val="0"/>
          <w:sz w:val="28"/>
          <w:szCs w:val="28"/>
          <w:highlight w:val="none"/>
        </w:rPr>
      </w:pPr>
      <w:r>
        <w:rPr>
          <w:rFonts w:hint="eastAsia" w:ascii="黑体" w:hAnsi="黑体" w:eastAsia="黑体" w:cs="仿宋_GB2312"/>
          <w:b/>
          <w:color w:val="auto"/>
          <w:kern w:val="0"/>
          <w:sz w:val="28"/>
          <w:szCs w:val="28"/>
          <w:highlight w:val="none"/>
        </w:rPr>
        <w:t>第九条 水电</w:t>
      </w:r>
      <w:r>
        <w:rPr>
          <w:rFonts w:hint="eastAsia" w:ascii="黑体" w:hAnsi="黑体" w:eastAsia="黑体" w:cs="仿宋_GB2312"/>
          <w:b/>
          <w:color w:val="auto"/>
          <w:kern w:val="0"/>
          <w:sz w:val="28"/>
          <w:szCs w:val="28"/>
          <w:highlight w:val="none"/>
          <w:lang w:val="en-US" w:eastAsia="zh-CN"/>
        </w:rPr>
        <w:t>费</w:t>
      </w:r>
      <w:r>
        <w:rPr>
          <w:rFonts w:hint="eastAsia" w:ascii="黑体" w:hAnsi="黑体" w:eastAsia="黑体" w:cs="仿宋_GB2312"/>
          <w:b/>
          <w:color w:val="auto"/>
          <w:kern w:val="0"/>
          <w:sz w:val="28"/>
          <w:szCs w:val="28"/>
          <w:highlight w:val="none"/>
        </w:rPr>
        <w:t>及其他费用</w:t>
      </w:r>
    </w:p>
    <w:p>
      <w:pPr>
        <w:overflowPunct w:val="0"/>
        <w:autoSpaceDE w:val="0"/>
        <w:ind w:firstLine="478" w:firstLineChars="171"/>
        <w:rPr>
          <w:rFonts w:hint="eastAsia" w:ascii="仿宋_GB2312" w:hAnsi="仿宋_GB2312" w:eastAsia="仿宋_GB2312" w:cs="仿宋_GB2312"/>
          <w:color w:val="auto"/>
          <w:kern w:val="0"/>
          <w:sz w:val="28"/>
          <w:szCs w:val="28"/>
          <w:highlight w:val="yellow"/>
          <w:lang w:val="en-US" w:eastAsia="zh-CN"/>
        </w:rPr>
      </w:pPr>
      <w:r>
        <w:rPr>
          <w:rFonts w:hint="eastAsia" w:ascii="仿宋_GB2312" w:hAnsi="仿宋_GB2312" w:eastAsia="仿宋_GB2312" w:cs="仿宋_GB2312"/>
          <w:color w:val="auto"/>
          <w:kern w:val="0"/>
          <w:sz w:val="28"/>
          <w:szCs w:val="28"/>
          <w:highlight w:val="none"/>
          <w:lang w:val="en-US" w:eastAsia="zh-CN"/>
        </w:rPr>
        <w:t>9.1 自交付之日起，物业空间（包括租赁范围及其相关管理范围）所产生的水电费由乙方承担。水电费由甲方指定水电管理单位贵阳市城市轨道交通运营有限公司（以下简称“管理单位”）履行代收代缴职责，乙方应当在进场前按照水电费管理单位要求与其签订水电费收取协议，并向管理单位以现金或转账的方式缴纳水电费保证金后（由管理单位按照前期同类项目水电费使用情况进行测算，保证金金额不少于三个月的水电费预测总额），管理单位向乙方提供经营用水用电。</w:t>
      </w:r>
    </w:p>
    <w:p>
      <w:pPr>
        <w:overflowPunct w:val="0"/>
        <w:autoSpaceDE w:val="0"/>
        <w:ind w:firstLine="478" w:firstLineChars="171"/>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9.2 乙方进场后7个工作日内必须与甲方或甲方指定的管理单位签订水电费收缴合同，否则产生的一切后果由乙方自行承担。</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9.3 进场后用电接驳施工及相应计量仪表的采购、安装费用由乙方自行承担。</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9.4 乙方可自行开展水电报装。</w:t>
      </w:r>
    </w:p>
    <w:p>
      <w:pPr>
        <w:overflowPunct w:val="0"/>
        <w:autoSpaceDE w:val="0"/>
        <w:ind w:firstLine="562" w:firstLineChars="200"/>
        <w:rPr>
          <w:rFonts w:ascii="黑体" w:hAnsi="黑体" w:eastAsia="黑体" w:cs="仿宋_GB2312"/>
          <w:b/>
          <w:color w:val="auto"/>
          <w:kern w:val="0"/>
          <w:sz w:val="28"/>
          <w:szCs w:val="28"/>
          <w:highlight w:val="none"/>
        </w:rPr>
      </w:pPr>
      <w:r>
        <w:rPr>
          <w:rFonts w:hint="eastAsia" w:ascii="黑体" w:hAnsi="黑体" w:eastAsia="黑体" w:cs="仿宋_GB2312"/>
          <w:b/>
          <w:color w:val="auto"/>
          <w:kern w:val="0"/>
          <w:sz w:val="28"/>
          <w:szCs w:val="28"/>
          <w:highlight w:val="none"/>
        </w:rPr>
        <w:t>第十条 业态规划</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10.1 乙方不得经营国家法律法规禁止的或影响轨道交通建设、运营的业态，且不得经营与使用明火相关的业态。</w:t>
      </w:r>
    </w:p>
    <w:p>
      <w:pPr>
        <w:overflowPunct w:val="0"/>
        <w:autoSpaceDE w:val="0"/>
        <w:ind w:firstLine="478" w:firstLineChars="171"/>
        <w:rPr>
          <w:rFonts w:hint="eastAsia" w:ascii="仿宋_GB2312" w:hAnsi="仿宋_GB2312" w:eastAsia="仿宋_GB2312" w:cs="仿宋_GB2312"/>
          <w:color w:val="FF0000"/>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10.2 乙方业态规划应满足消防相关规范要求并自行办理物业空间消防手续。如因乙方业态规划导致物业空间部分面积不能使用的，乙方不得因此向甲方提出调减租金的要求。</w:t>
      </w:r>
    </w:p>
    <w:p>
      <w:pPr>
        <w:ind w:firstLine="562" w:firstLineChars="200"/>
        <w:rPr>
          <w:rFonts w:ascii="黑体" w:hAnsi="黑体" w:eastAsia="黑体" w:cs="仿宋_GB2312"/>
          <w:b/>
          <w:color w:val="auto"/>
          <w:kern w:val="0"/>
          <w:sz w:val="28"/>
          <w:szCs w:val="28"/>
          <w:highlight w:val="none"/>
        </w:rPr>
      </w:pPr>
      <w:r>
        <w:rPr>
          <w:rFonts w:hint="eastAsia" w:ascii="黑体" w:hAnsi="黑体" w:eastAsia="黑体" w:cs="仿宋_GB2312"/>
          <w:b/>
          <w:color w:val="auto"/>
          <w:kern w:val="0"/>
          <w:sz w:val="28"/>
          <w:szCs w:val="28"/>
          <w:highlight w:val="none"/>
        </w:rPr>
        <w:t>第十一条 装修管理</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11.1 乙方开展内部装修不得改变标的物的结构，不得对轨道交通运营造成妨碍或损害，业态规划方案、装修方案须经甲方同意、并完善相关地铁保护手续办理后方可实施，装修的报建、竣工验收、消防验收手续由乙方自行办理，装修费用、办理相关手续的费用由乙方自行承担，并确保装修施工行为满足国家、地方相关法律法规和甲方颁布的相关制度要求。</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11.2 按规定须由消防、住建、规划、环保、生态、城市管理等有关部门审批的，则由乙方自行完善审批手续；若乙方未完善相关审批手续擅自进行装修，因此产生的一切责任由乙方承担。</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11.3 乙方须将报批后的相关施工和设计文件送达甲方备案。乙方的装修施工须按批准的装修方案进行，并确保装修施工符合安全及环保要求。</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11.4 在装修过程中，乙方和乙方委托的施工单位损坏物业空间外立面、附属设施和相邻部位的，甲方有权要求乙方恢复原状。</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11.5 乙方应采取措施确保装修施工期的安全，如在物业空间装修过程中发生安全事故的，由乙方负责承担全部法律责任，并承担因施工所导致的一切人身损害或财产损失赔偿责任。</w:t>
      </w:r>
    </w:p>
    <w:p>
      <w:pPr>
        <w:overflowPunct w:val="0"/>
        <w:autoSpaceDE w:val="0"/>
        <w:ind w:firstLine="562" w:firstLineChars="200"/>
        <w:rPr>
          <w:rFonts w:ascii="黑体" w:hAnsi="黑体" w:eastAsia="黑体" w:cs="仿宋_GB2312"/>
          <w:b/>
          <w:color w:val="auto"/>
          <w:kern w:val="0"/>
          <w:sz w:val="28"/>
          <w:szCs w:val="28"/>
          <w:highlight w:val="none"/>
        </w:rPr>
      </w:pPr>
      <w:r>
        <w:rPr>
          <w:rFonts w:hint="eastAsia" w:ascii="黑体" w:hAnsi="黑体" w:eastAsia="黑体" w:cs="仿宋_GB2312"/>
          <w:b/>
          <w:color w:val="auto"/>
          <w:kern w:val="0"/>
          <w:sz w:val="28"/>
          <w:szCs w:val="28"/>
          <w:highlight w:val="none"/>
        </w:rPr>
        <w:t>第十二条 物业管理</w:t>
      </w:r>
    </w:p>
    <w:p>
      <w:pPr>
        <w:overflowPunct w:val="0"/>
        <w:autoSpaceDE w:val="0"/>
        <w:ind w:firstLine="478" w:firstLineChars="171"/>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12.1 自交付之日起，物业空间的物业管理责任由乙方自行承担。</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12.2 物业空间设施及设备维护、维修、更换</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12.2.1 自物业空间交付给乙方之日起，乙方应负责物业空间设施设备（含甲方配置）的维护保养工作及承担相应的费用，保证处于正常的可使用和安全的状态。</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12.2.2 由甲方投资建设完成交付给乙方使用的结构和设施设备，在维保合同约定或国家规定的质保范围以外的维修、维护、大修、设备更换等工作及费用由乙方承担。</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12.2.3 如因乙方维护区域的设备设施故障，而引起甲方负责管理的维护区域设备故障的，甲方有权进入乙方负责维护的区域进行相关设施设备维修保养。甲方进入前应事先告知乙方，尽量避免对乙方经营造成影响。</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12.3 乙方增设的临时可移动的设施设备的所有权归属乙方，由乙方负责维修和保养。租赁期满，乙方拆除其增设的设施设备时，不得损坏物业空间的主体结构和原有重要设施设备。</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12.4 在物业空间毗邻区域，遇到意外及突发事件时（例如火灾、水淹、水管爆裂、电线短路等），甲方和乙方应积极配合施救，在区分责任后由责任方承担责任和赔偿直接经济损失。</w:t>
      </w:r>
    </w:p>
    <w:p>
      <w:pPr>
        <w:overflowPunct w:val="0"/>
        <w:autoSpaceDE w:val="0"/>
        <w:ind w:firstLine="478" w:firstLineChars="171"/>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12.5 甲方需要通过乙方物业管理区域进行日常巡查、保养维护或紧急抢修等作业，乙方须无条件配合。</w:t>
      </w:r>
    </w:p>
    <w:p>
      <w:pPr>
        <w:overflowPunct w:val="0"/>
        <w:autoSpaceDE w:val="0"/>
        <w:ind w:firstLine="562" w:firstLineChars="200"/>
        <w:rPr>
          <w:rFonts w:ascii="黑体" w:hAnsi="黑体" w:eastAsia="黑体" w:cs="仿宋_GB2312"/>
          <w:b/>
          <w:color w:val="auto"/>
          <w:kern w:val="0"/>
          <w:sz w:val="28"/>
          <w:szCs w:val="28"/>
          <w:highlight w:val="none"/>
        </w:rPr>
      </w:pPr>
      <w:r>
        <w:rPr>
          <w:rFonts w:hint="eastAsia" w:ascii="黑体" w:hAnsi="黑体" w:eastAsia="黑体" w:cs="仿宋_GB2312"/>
          <w:b/>
          <w:color w:val="auto"/>
          <w:kern w:val="0"/>
          <w:sz w:val="28"/>
          <w:szCs w:val="28"/>
          <w:highlight w:val="none"/>
        </w:rPr>
        <w:t>第十三条 安全制度</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13.1 乙方必须按照国家、省、市法律法规和有关行政管理部门及甲方相关规定，建立和完善安全责任制度，建立安全生产保证体系，保障物业空间安全、稳定的运营和服务，防止责任事故发生；所有设施及工作均不得对运营服务造成影响。</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13.2 从交付日起，乙方是物业空间的安全责任人，应确保物业空间符合地下公共交通空间的运营安全需要，采取必要措施，防止安全事故的发生。当乙方的行为有可能影响轨道运营安全或正常管理秩序的，甲方有权要求乙方限时整改，乙方应当服从甲方的合理要求。使用物业空间期间所发生的安全事故责任由乙方自行承担，因甲方原因引起的除外。发生安全事故时，乙方须立即向甲方及区域安全生产行政管理部门及时汇报事故情况，并积极采取抢救措施防止事故的恶化，尽最大限度减少相关损失。</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13.3 乙方要加强商业设施的安全检查，及时消除安全隐患。</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13.4 如乙方发现任何危害经营线路安全运营的任何行为和隐患，或发生影响物业空间运营、安全、质量的重大事项，乙方应及时向甲方进行报告。</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13.5 乙方应为雇员、代表或第三方提供安全培训，包括参加甲方组织的经营线路安全培训课程，甲方有权按该课程的培训成本向乙方收取适当费用；乙方必须按相关规定及甲方要求制定人员疏散、应急的演练预案，并报甲方备案。</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13.6 乙方在物业空间所有规划、装修、经营、改造等活动必须符合消防安全相关法律、法规及甲方的要求，按规定取得甲方或相关政府行政管理部门的审批后方可实施。</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13.7 政府行政管理部门在巡查过程中发现物业空间存在安全隐患必须整改的，乙方必须立即按照其要求进行整改，直至符合规范要求。如政府部门对此进行处罚的，由乙方承担责任。如甲方因此受到政府部门的处罚，有权向乙方追偿并追究其违约责任。</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13.8 甲方有权对物业空间进行安全巡查，如发现乙方未严格遵守国家、地方相关法律法规和甲方颁布的相关制度的的，甲方有权发出《整改通知书》，乙方必须在限期内完成整改，达到安全规范要求。</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13.9 安全责任的承担</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本合同项下因乙方引发的一切安全责任事故后果由乙方承担。</w:t>
      </w:r>
    </w:p>
    <w:p>
      <w:pPr>
        <w:overflowPunct w:val="0"/>
        <w:autoSpaceDE w:val="0"/>
        <w:ind w:firstLine="562" w:firstLineChars="200"/>
        <w:rPr>
          <w:rFonts w:ascii="黑体" w:hAnsi="黑体" w:eastAsia="黑体" w:cs="仿宋_GB2312"/>
          <w:b/>
          <w:color w:val="auto"/>
          <w:kern w:val="0"/>
          <w:sz w:val="28"/>
          <w:szCs w:val="28"/>
          <w:highlight w:val="none"/>
        </w:rPr>
      </w:pPr>
      <w:r>
        <w:rPr>
          <w:rFonts w:hint="eastAsia" w:ascii="黑体" w:hAnsi="黑体" w:eastAsia="黑体" w:cs="仿宋_GB2312"/>
          <w:b/>
          <w:color w:val="auto"/>
          <w:kern w:val="0"/>
          <w:sz w:val="28"/>
          <w:szCs w:val="28"/>
          <w:highlight w:val="none"/>
        </w:rPr>
        <w:t>第十四条 保险</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14.1 在本合同有效期内，乙方须按照国家法律法规要求为物业空间经营购买相关强制险种。</w:t>
      </w:r>
    </w:p>
    <w:p>
      <w:pPr>
        <w:overflowPunct w:val="0"/>
        <w:autoSpaceDE w:val="0"/>
        <w:ind w:firstLine="562" w:firstLineChars="200"/>
        <w:rPr>
          <w:rFonts w:ascii="黑体" w:hAnsi="黑体" w:eastAsia="黑体" w:cs="仿宋_GB2312"/>
          <w:b/>
          <w:color w:val="auto"/>
          <w:kern w:val="0"/>
          <w:sz w:val="28"/>
          <w:szCs w:val="28"/>
          <w:highlight w:val="none"/>
        </w:rPr>
      </w:pPr>
      <w:r>
        <w:rPr>
          <w:rFonts w:hint="eastAsia" w:ascii="黑体" w:hAnsi="黑体" w:eastAsia="黑体" w:cs="仿宋_GB2312"/>
          <w:b/>
          <w:color w:val="auto"/>
          <w:kern w:val="0"/>
          <w:sz w:val="28"/>
          <w:szCs w:val="28"/>
          <w:highlight w:val="none"/>
        </w:rPr>
        <w:t xml:space="preserve">第十五条 </w:t>
      </w:r>
      <w:r>
        <w:rPr>
          <w:rFonts w:hint="eastAsia" w:ascii="黑体" w:hAnsi="黑体" w:eastAsia="黑体" w:cs="仿宋_GB2312"/>
          <w:b/>
          <w:color w:val="auto"/>
          <w:kern w:val="0"/>
          <w:sz w:val="28"/>
          <w:szCs w:val="28"/>
          <w:highlight w:val="none"/>
          <w:lang w:eastAsia="zh-CN"/>
        </w:rPr>
        <w:t>甲方</w:t>
      </w:r>
      <w:r>
        <w:rPr>
          <w:rFonts w:hint="eastAsia" w:ascii="黑体" w:hAnsi="黑体" w:eastAsia="黑体" w:cs="仿宋_GB2312"/>
          <w:b/>
          <w:color w:val="auto"/>
          <w:kern w:val="0"/>
          <w:sz w:val="28"/>
          <w:szCs w:val="28"/>
          <w:highlight w:val="none"/>
        </w:rPr>
        <w:t>的权利和义务</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15.1 依约将物业空间交乙方使用。</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15.2 有权按本合同约定收取租金及其他费用。</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15.3 甲方有义务配合乙方办理相关行政审批手续。</w:t>
      </w:r>
    </w:p>
    <w:p>
      <w:pPr>
        <w:overflowPunct w:val="0"/>
        <w:autoSpaceDE w:val="0"/>
        <w:ind w:firstLine="478" w:firstLineChars="171"/>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15.4 甲方有权对乙方现场安全生产经营行为进行监督、指导、检查，并要求乙方对存在的安全隐患开展积极高效的整改。</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15.5 在租赁期限期满前六个月内，甲方有权进行重新招租的各项准备工作，包括向意向乙方展示物业空间，乙方应予以配合。</w:t>
      </w:r>
    </w:p>
    <w:p>
      <w:pPr>
        <w:overflowPunct w:val="0"/>
        <w:autoSpaceDE w:val="0"/>
        <w:ind w:firstLine="562" w:firstLineChars="200"/>
        <w:rPr>
          <w:rFonts w:ascii="黑体" w:hAnsi="黑体" w:eastAsia="黑体" w:cs="仿宋_GB2312"/>
          <w:b/>
          <w:color w:val="auto"/>
          <w:kern w:val="0"/>
          <w:sz w:val="28"/>
          <w:szCs w:val="28"/>
          <w:highlight w:val="none"/>
        </w:rPr>
      </w:pPr>
      <w:r>
        <w:rPr>
          <w:rFonts w:hint="eastAsia" w:ascii="黑体" w:hAnsi="黑体" w:eastAsia="黑体" w:cs="仿宋_GB2312"/>
          <w:b/>
          <w:color w:val="auto"/>
          <w:kern w:val="0"/>
          <w:sz w:val="28"/>
          <w:szCs w:val="28"/>
          <w:highlight w:val="none"/>
        </w:rPr>
        <w:t xml:space="preserve">第十六条 </w:t>
      </w:r>
      <w:r>
        <w:rPr>
          <w:rFonts w:hint="eastAsia" w:ascii="黑体" w:hAnsi="黑体" w:eastAsia="黑体" w:cs="仿宋_GB2312"/>
          <w:b/>
          <w:color w:val="auto"/>
          <w:kern w:val="0"/>
          <w:sz w:val="28"/>
          <w:szCs w:val="28"/>
          <w:highlight w:val="none"/>
          <w:lang w:eastAsia="zh-CN"/>
        </w:rPr>
        <w:t>乙方</w:t>
      </w:r>
      <w:r>
        <w:rPr>
          <w:rFonts w:hint="eastAsia" w:ascii="黑体" w:hAnsi="黑体" w:eastAsia="黑体" w:cs="仿宋_GB2312"/>
          <w:b/>
          <w:color w:val="auto"/>
          <w:kern w:val="0"/>
          <w:sz w:val="28"/>
          <w:szCs w:val="28"/>
          <w:highlight w:val="none"/>
        </w:rPr>
        <w:t>的权利和义务</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16.1 乙方有权在租赁期间按照合同约定的用途合法使用物业空间，自主经营、自负盈亏，乙方的合法经营行为不受甲方的干预。</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 xml:space="preserve">16.2 乙方应在正式经营前应组建完善的、具备专业知识和管理经验的项目管理部开展本项目经营管理活动，并将组织机构、各专业/部门负责人情况书面向甲方备案。 </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16.3 物业空间的经营管理须严格遵守国家、地方相关法律法规和甲方颁布的相关制度要求，并与相关单位签订安全协议、安全责任书、联合运营协议等。</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16.4 乙方负责出租标的（包含计租范围、出入口通道、</w:t>
      </w:r>
      <w:r>
        <w:rPr>
          <w:rFonts w:hint="eastAsia" w:ascii="仿宋_GB2312" w:hAnsi="仿宋_GB2312" w:eastAsia="仿宋_GB2312" w:cs="仿宋_GB2312"/>
          <w:b w:val="0"/>
          <w:bCs/>
          <w:sz w:val="28"/>
          <w:szCs w:val="28"/>
          <w:lang w:val="en-US" w:eastAsia="zh-CN"/>
        </w:rPr>
        <w:t>用于消防疏散的下沉式广场及门前三包管理范围</w:t>
      </w:r>
      <w:r>
        <w:rPr>
          <w:rFonts w:hint="eastAsia" w:ascii="仿宋_GB2312" w:hAnsi="仿宋_GB2312" w:eastAsia="仿宋_GB2312" w:cs="仿宋_GB2312"/>
          <w:color w:val="auto"/>
          <w:kern w:val="0"/>
          <w:sz w:val="28"/>
          <w:szCs w:val="28"/>
          <w:highlight w:val="none"/>
          <w:lang w:val="en-US" w:eastAsia="zh-CN"/>
        </w:rPr>
        <w:t>）的既有工程改造、后续工程建设、装饰装修、设备设施安装及运营、维护管理，并承担相关费用和风险。</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16.5 自物业空间交付给乙方之日起，由乙方全权负责物业空间的所有管理工作，包括但不限于根据相关政府部门或规范要求配置功能用房、专业设施设备、管理人员等以满足现场安全生产、消防、反恐、卫生防疫等所需的物防技防人防要求。</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16.6 乙方应按相关行政审批部门要求完善出租标的市政过街功能，并由乙方承担相关管理责任和费用</w:t>
      </w:r>
    </w:p>
    <w:p>
      <w:pPr>
        <w:overflowPunct w:val="0"/>
        <w:autoSpaceDE w:val="0"/>
        <w:ind w:firstLine="478" w:firstLineChars="171"/>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16.7 乙方须完成物业空间相关项验收和行政审批手续办理后方可投入经营，否则，因此产生的一切后果由乙方自行承担。</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16.8 如物业空间交付后但未开展经营活动，乙方应按政府或轨道交通经营单位要求对其进行围蔽，并确保围挡整洁完整；必要时，乙方还应根据规划或相关政府部门要求，确保物业空间的过街功能得以实现。</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16.9 乙方对物业空间商铺或其他使用功能区域的规划或设计，应优先确保轨道交通与周边项目已规划的接口或接驳功能得以实现。</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16.10 乙方应制定商业资源日常维护的技术标准及规范，按照该技术标准及规范负责做好商业资源的维护、维修工作，确保商业资源处于良好的状态。</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16.11 乙方在引进入驻商户时签订的商业合同期限不得超过乙方与甲方签订的租赁期限。</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16.12 乙方在开业前须按照相关法律法规要求完善相关行政许可，并将相关批复报甲方备案。若乙方未完善相关行政许可擅自开业的，因此产生的一切责任由乙方承担。</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16.13 乙方不得将出租标的或以出租标的名义开展担保、抵押等融资活动。</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16.14 乙方在出租标的内开展广告资源设置活动应满足相关法律法规和甲方相关管理制度要求，并对发布广告的内容负责。</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16.15 乙方应委托具有相应资质机构负责实施出租标的的装修工作；出租标的露出地面结构装修风格原则上应与主业协调一致或满足规划许可，同时做好与市政管线、道路、绿化等的接驳工作。</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16.16 乙方铺位的招牌、告示、标志牌等的设置应符合《中华人民共和国国家通用语言文字法》及其他相关法规、规章的规定。招牌、告示、标志牌等需要使用外国语言文字的，应当用规范汉字标注。</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16.17 乙方应按照有关规定负责出租标的及“门前三包”范围内的环境卫生、市容秩序的管理工作。</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16.18 乙方现场经营活动应满足相关法律法规要求，悬挂营业执照、卫生许可证、健康证等，做到亮证经营，明码标价。</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16.19 出租标的交付给乙方之日起，现场发生的所有纠纷、投诉均由乙方负责并妥善处理，如因乙方未能妥善处理或不处理，甲方有权代为处理，因此所产生的费用和给甲方造成的损失由乙方承担。</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16.20 当乙方出现下列事项应及时告知甲方:</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16.20.1 乙方（含项目管理部）总经理、副总经理、财务总监等高级管理人员确定或发生人员变更。</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16.20.2 乙方的股东或股权结构发生重大变化。</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16.20.3 乙方签署可能对物业空间经营有重大影响的合同或意向书。</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16.20.4 其他对物业空间经营有重大影响的事项。</w:t>
      </w:r>
    </w:p>
    <w:p>
      <w:pPr>
        <w:overflowPunct w:val="0"/>
        <w:autoSpaceDE w:val="0"/>
        <w:ind w:firstLine="562" w:firstLineChars="200"/>
        <w:rPr>
          <w:rFonts w:ascii="黑体" w:hAnsi="黑体" w:eastAsia="黑体" w:cs="仿宋_GB2312"/>
          <w:b/>
          <w:color w:val="auto"/>
          <w:kern w:val="0"/>
          <w:sz w:val="28"/>
          <w:szCs w:val="28"/>
          <w:highlight w:val="none"/>
        </w:rPr>
      </w:pPr>
      <w:r>
        <w:rPr>
          <w:rFonts w:hint="eastAsia" w:ascii="黑体" w:hAnsi="黑体" w:eastAsia="黑体" w:cs="仿宋_GB2312"/>
          <w:b/>
          <w:color w:val="auto"/>
          <w:kern w:val="0"/>
          <w:sz w:val="28"/>
          <w:szCs w:val="28"/>
          <w:highlight w:val="none"/>
        </w:rPr>
        <w:t>第十七条</w:t>
      </w:r>
      <w:r>
        <w:rPr>
          <w:rFonts w:ascii="黑体" w:hAnsi="黑体" w:eastAsia="黑体" w:cs="仿宋_GB2312"/>
          <w:b/>
          <w:color w:val="auto"/>
          <w:kern w:val="0"/>
          <w:sz w:val="28"/>
          <w:szCs w:val="28"/>
          <w:highlight w:val="none"/>
        </w:rPr>
        <w:t xml:space="preserve"> </w:t>
      </w:r>
      <w:r>
        <w:rPr>
          <w:rFonts w:hint="eastAsia" w:ascii="黑体" w:hAnsi="黑体" w:eastAsia="黑体" w:cs="仿宋_GB2312"/>
          <w:b/>
          <w:color w:val="auto"/>
          <w:kern w:val="0"/>
          <w:sz w:val="28"/>
          <w:szCs w:val="28"/>
          <w:highlight w:val="none"/>
        </w:rPr>
        <w:t>违约责任</w:t>
      </w:r>
    </w:p>
    <w:p>
      <w:pPr>
        <w:overflowPunct w:val="0"/>
        <w:autoSpaceDE w:val="0"/>
        <w:ind w:firstLine="478" w:firstLineChars="171"/>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17.1 除获得甲方书面许可外，乙方逾期缴纳本合同项下租金及各项其他费用，甲方有权从履约保证金中扣除与所欠费用相应金额。履约保证金扣除按本合同6.4条相关内容执行。</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17.2 出现下列情形之一，甲方有权单方解除合同，不承担任何违约、赔偿责任且不返还乙方的履约保证金，并享有追究乙方承担相应经济损失的权利：</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 xml:space="preserve">17.2.1 合同尚未到期，乙方单方解除或提前终止合同的。 </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17.2.2 乙方因严重违反国家有关法律、法规、政策，而被国家行政机关查封或关闭。</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17.2.3 乙方在商业经营过程中，未经甲方同意超出合同约定开展商业经营活动造成严重不良影响的。</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17.2.4 现场存在严重安全隐患且长期不按照甲方要求及时高效整改的。</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17.2.5 乙方的生产经营行为给轨道交通运营、维保、抢险等工作造成严重妨碍且不积极配合的。</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17.2.6 在签署和履行本合同过程中隐瞒可能影响本合同履行的任何信息，向甲方提供虚假的资料或信息被查实的。</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17.2.7 乙方擅自改变车站承重和主体结构，造成较大安全隐患而未采取及时有效的处理措施的。</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17.2.8 乙方在租赁期间严重违反租赁合同条款造成租赁合同主要目的无法实现的。</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17.2.9 经查实，乙方将出租标的进行转租或用于担保、抵押等融资活动的。</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17.3 不中断合同履行</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除非本合同终止，针对本合同的任何违约责任的追究及责任承担，均不影响本合同之继续履行。</w:t>
      </w:r>
    </w:p>
    <w:p>
      <w:pPr>
        <w:overflowPunct w:val="0"/>
        <w:autoSpaceDE w:val="0"/>
        <w:ind w:firstLine="562" w:firstLineChars="200"/>
        <w:rPr>
          <w:rFonts w:ascii="黑体" w:hAnsi="黑体" w:eastAsia="黑体" w:cs="仿宋_GB2312"/>
          <w:b/>
          <w:color w:val="auto"/>
          <w:kern w:val="0"/>
          <w:sz w:val="28"/>
          <w:szCs w:val="28"/>
          <w:highlight w:val="none"/>
        </w:rPr>
      </w:pPr>
      <w:r>
        <w:rPr>
          <w:rFonts w:hint="eastAsia" w:ascii="黑体" w:hAnsi="黑体" w:eastAsia="黑体" w:cs="仿宋_GB2312"/>
          <w:b/>
          <w:color w:val="auto"/>
          <w:kern w:val="0"/>
          <w:sz w:val="28"/>
          <w:szCs w:val="28"/>
          <w:highlight w:val="none"/>
        </w:rPr>
        <w:t>第十八条 免责条款</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18.1 如果一方在履行本合同时直接受到某一不可抗力事件的影响、延迟或阻碍，该方应在不可抗力事件发生后的十天内通知另一方并提供有关的详细信息。</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18.2 对不可抗力事件造成的未履行或延迟履行义务，任何一方均不承担责任。受不可抗力事件影响的一方须采取适当措施以减少或消除不可抗力的影响，并尽快恢复履行受不可抗力事件影响的义务。</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18.3 因不可抗力导致出租标的不能使用或合同目的不能实现的，本合同可以解除，终止租赁。</w:t>
      </w:r>
    </w:p>
    <w:p>
      <w:pPr>
        <w:overflowPunct w:val="0"/>
        <w:autoSpaceDE w:val="0"/>
        <w:ind w:firstLine="562" w:firstLineChars="200"/>
        <w:rPr>
          <w:rFonts w:ascii="黑体" w:hAnsi="黑体" w:eastAsia="黑体" w:cs="仿宋_GB2312"/>
          <w:b/>
          <w:color w:val="auto"/>
          <w:kern w:val="0"/>
          <w:sz w:val="28"/>
          <w:szCs w:val="28"/>
          <w:highlight w:val="none"/>
        </w:rPr>
      </w:pPr>
      <w:r>
        <w:rPr>
          <w:rFonts w:hint="eastAsia" w:ascii="黑体" w:hAnsi="黑体" w:eastAsia="黑体" w:cs="仿宋_GB2312"/>
          <w:b/>
          <w:color w:val="auto"/>
          <w:kern w:val="0"/>
          <w:sz w:val="28"/>
          <w:szCs w:val="28"/>
          <w:highlight w:val="none"/>
        </w:rPr>
        <w:t>第十九条 合同的变更、解除与终止</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19.1 本合同的变更、补充，须经双方协商一致后，签署书面补充协议，方能生效。</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19.2 租赁期满终止</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租赁期限届满，乙方将物业空间按照返还条款约定移交给甲方并退还履约保证金后，双方正常解除合同，不再另行签订解除协议。</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19.3 提前终止</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19.3.1 乙方因自身原因提前终止合同的，须提前至少60日书面征得甲方同意，双方协商一致并按照返还条款的约定将物业空间移交给甲方后，履约保证金不予以退还，乙方缴纳的剩余未使用租金在扣除相关费用（包括但不限于水电费、拆除、清理或修复产生的费用等）后将予以退还；履约保证金和未使用租金不足以抵扣相关费用时，甲方有权向乙方进行追偿。</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19.3.2 甲方因自身的原因需提前终止租赁合同的，甲方向乙方发出书面通知，通知载明之日即为合同终止日。甲方将未使用的租金和履约保证金予以无息退还。乙方应积极高效配合甲方完成清撤场任务，因此给乙方产生的损失由双方另行协商处理。</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19.3.3 因不可抗力因素导致出租标的不能使用或合同目的不能实现的，甲乙双方均有权提出解除租赁合同，双方达成一致意见后可友好解除合同，除不退还已使用的租金外，双方互不承担违约责任。</w:t>
      </w:r>
    </w:p>
    <w:p>
      <w:pPr>
        <w:overflowPunct w:val="0"/>
        <w:autoSpaceDE w:val="0"/>
        <w:ind w:firstLine="562" w:firstLineChars="200"/>
        <w:rPr>
          <w:rFonts w:ascii="黑体" w:hAnsi="黑体" w:eastAsia="黑体" w:cs="仿宋_GB2312"/>
          <w:b/>
          <w:color w:val="auto"/>
          <w:kern w:val="0"/>
          <w:sz w:val="28"/>
          <w:szCs w:val="28"/>
          <w:highlight w:val="none"/>
        </w:rPr>
      </w:pPr>
      <w:r>
        <w:rPr>
          <w:rFonts w:hint="eastAsia" w:ascii="黑体" w:hAnsi="黑体" w:eastAsia="黑体" w:cs="仿宋_GB2312"/>
          <w:b/>
          <w:color w:val="auto"/>
          <w:kern w:val="0"/>
          <w:sz w:val="28"/>
          <w:szCs w:val="28"/>
          <w:highlight w:val="none"/>
        </w:rPr>
        <w:t>第二十条 返还</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bookmarkStart w:id="49" w:name="_Toc483398277"/>
      <w:bookmarkStart w:id="50" w:name="_Toc484608533"/>
      <w:bookmarkStart w:id="51" w:name="_Toc484419297"/>
      <w:bookmarkStart w:id="52" w:name="_Toc484188036"/>
      <w:bookmarkStart w:id="53" w:name="_Toc409531012"/>
      <w:bookmarkStart w:id="54" w:name="_Toc484520572"/>
      <w:r>
        <w:rPr>
          <w:rFonts w:hint="eastAsia" w:ascii="仿宋_GB2312" w:hAnsi="仿宋_GB2312" w:eastAsia="仿宋_GB2312" w:cs="仿宋_GB2312"/>
          <w:color w:val="auto"/>
          <w:kern w:val="0"/>
          <w:sz w:val="28"/>
          <w:szCs w:val="28"/>
          <w:highlight w:val="none"/>
          <w:lang w:val="en-US" w:eastAsia="zh-CN"/>
        </w:rPr>
        <w:t>20.1 租赁合同正常履行的，租赁期最后一日为退场之日；租赁合同由双方协商一致解除的，退场之日以双方约定为准；单方解除租赁合同的，退场之日以租赁合同约定的相关退场文件载明的日期为准。</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20.2 乙方须在双方约定的退场之日前完成物业空间内由乙方实施的设施设备拆除和垃圾清理，不便拆除且甲方愿意接收的设施设备经双方协商一致后可保留；乙方须对其使用损坏的、由甲方实施的结构和设施设备按照不低于原标准修复后方可返还给甲方。</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20.3 截止退场之日，若乙方未完成的拆除、清理或修复工作，由甲方自行组织完成且不对权属于乙方的相关设施设备有任何保存、维护义务，相关处理费由乙方承担。</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20.4 按约定完成退场的，承出租双方对现场设施设备进行共同检查、对水电表度数进行确认后双方签订移交表、完善书面移交手续；乙方未按合同约定、撤场通知、或其他约定完成退场的，甲方有权对现场结构、设施设备、水电表度数进行拍照取证后自行开展清场工作，且不对权属于乙方的相关设施设备有任何保存、维护义务，相关处理费用由乙方承担。</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20.5 除乙方因自身原因提前终止合同的，完成清场后，甲方在扣除应收租金、应缴费用和现场清场及修复费用后15个工作日内，将未用完的租金和履约保证金无息按照原支付路径或双方约定方式退还给乙方。履约保证金和未使用租金不够抵扣的，甲方保留对乙方的追偿权利。</w:t>
      </w:r>
    </w:p>
    <w:bookmarkEnd w:id="49"/>
    <w:bookmarkEnd w:id="50"/>
    <w:bookmarkEnd w:id="51"/>
    <w:bookmarkEnd w:id="52"/>
    <w:bookmarkEnd w:id="53"/>
    <w:bookmarkEnd w:id="54"/>
    <w:p>
      <w:pPr>
        <w:overflowPunct w:val="0"/>
        <w:autoSpaceDE w:val="0"/>
        <w:ind w:firstLine="562" w:firstLineChars="200"/>
        <w:rPr>
          <w:rFonts w:ascii="黑体" w:hAnsi="黑体" w:eastAsia="黑体" w:cs="仿宋_GB2312"/>
          <w:b/>
          <w:color w:val="auto"/>
          <w:kern w:val="0"/>
          <w:sz w:val="28"/>
          <w:szCs w:val="28"/>
          <w:highlight w:val="none"/>
        </w:rPr>
      </w:pPr>
      <w:r>
        <w:rPr>
          <w:rFonts w:hint="eastAsia" w:ascii="黑体" w:hAnsi="黑体" w:eastAsia="黑体" w:cs="仿宋_GB2312"/>
          <w:b/>
          <w:color w:val="auto"/>
          <w:kern w:val="0"/>
          <w:sz w:val="28"/>
          <w:szCs w:val="28"/>
          <w:highlight w:val="none"/>
        </w:rPr>
        <w:t>第二十一条 其他</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21.1 保密：任何一方或其代理人获得的所有资料和文件（不论是财务、技术或其他方面），如果尚未公布或公开的，未经另一方事先书面同意均不得向第三人透露或公开，各方应保证其代理人不泄露本合同或本合同取代的任何合同的任何条款，不泄露在谈判过程中获取的另一方的保密资料。</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21.1.1 但是以下情况除外：</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（1）按照适用法律，或政府部门、司法机关的要求，或为审计或财务报表中的披露目的而进行披露的信息。</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（2）本合同项下明确允许的披露。</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21.1.2 本合同任何一方违反本合同约定的保密义</w:t>
      </w:r>
      <w:bookmarkStart w:id="55" w:name="_Toc409531017"/>
      <w:bookmarkStart w:id="56" w:name="_Toc484608538"/>
      <w:r>
        <w:rPr>
          <w:rFonts w:hint="eastAsia" w:ascii="仿宋_GB2312" w:hAnsi="仿宋_GB2312" w:eastAsia="仿宋_GB2312" w:cs="仿宋_GB2312"/>
          <w:color w:val="auto"/>
          <w:kern w:val="0"/>
          <w:sz w:val="28"/>
          <w:szCs w:val="28"/>
          <w:highlight w:val="none"/>
          <w:lang w:val="en-US" w:eastAsia="zh-CN"/>
        </w:rPr>
        <w:t>务的，均须负违约责任，如造成另一方损失的还需向对方承担损害赔偿责任。</w:t>
      </w:r>
    </w:p>
    <w:bookmarkEnd w:id="55"/>
    <w:bookmarkEnd w:id="56"/>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21.2 争议解决：凡因本合同引起或与本合同有关的争议，首先由双方友好协商解决，如协商不成，任何一方可向甲方所在地的人民法院提起诉讼。</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21.3 文件送达方式</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21.3.1 双方往来文件可采用直接送达和邮寄送达方式，均视为有效，</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21.3.2 直接送达如拒绝签收的，送出方将文件张贴在约定送达地址显眼位置出并拍照留存，视为在张贴之日送达。</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21.3.3 邮寄送达如无人签收或拒绝签收的，以邮件物流信息显示的达到约定地址之日视为送达。</w:t>
      </w:r>
    </w:p>
    <w:p>
      <w:pPr>
        <w:overflowPunct w:val="0"/>
        <w:autoSpaceDE w:val="0"/>
        <w:ind w:firstLine="478" w:firstLineChars="171"/>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 xml:space="preserve">21.3.4 </w:t>
      </w:r>
      <w:r>
        <w:rPr>
          <w:rFonts w:hint="default" w:ascii="仿宋_GB2312" w:hAnsi="仿宋_GB2312" w:eastAsia="仿宋_GB2312" w:cs="仿宋_GB2312"/>
          <w:color w:val="auto"/>
          <w:kern w:val="0"/>
          <w:sz w:val="28"/>
          <w:szCs w:val="28"/>
          <w:highlight w:val="none"/>
          <w:lang w:val="en-US" w:eastAsia="zh-CN"/>
        </w:rPr>
        <w:t>直接送达</w:t>
      </w:r>
    </w:p>
    <w:p>
      <w:pPr>
        <w:overflowPunct w:val="0"/>
        <w:autoSpaceDE w:val="0"/>
        <w:ind w:firstLine="478" w:firstLineChars="171"/>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（1）甲方</w:t>
      </w:r>
      <w:r>
        <w:rPr>
          <w:rFonts w:hint="default" w:ascii="仿宋_GB2312" w:hAnsi="仿宋_GB2312" w:eastAsia="仿宋_GB2312" w:cs="仿宋_GB2312"/>
          <w:color w:val="auto"/>
          <w:kern w:val="0"/>
          <w:sz w:val="28"/>
          <w:szCs w:val="28"/>
          <w:highlight w:val="none"/>
          <w:lang w:val="en-US" w:eastAsia="zh-CN"/>
        </w:rPr>
        <w:t>地址：</w:t>
      </w:r>
      <w:r>
        <w:rPr>
          <w:rFonts w:hint="eastAsia" w:ascii="仿宋_GB2312" w:hAnsi="仿宋_GB2312" w:eastAsia="仿宋_GB2312" w:cs="仿宋_GB2312"/>
          <w:color w:val="auto"/>
          <w:kern w:val="0"/>
          <w:sz w:val="28"/>
          <w:szCs w:val="28"/>
          <w:highlight w:val="none"/>
          <w:lang w:val="en-US" w:eastAsia="zh-CN"/>
        </w:rPr>
        <w:tab/>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联系人：</w:t>
      </w:r>
    </w:p>
    <w:p>
      <w:pPr>
        <w:overflowPunct w:val="0"/>
        <w:autoSpaceDE w:val="0"/>
        <w:ind w:firstLine="478" w:firstLineChars="171"/>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联系方式：</w:t>
      </w:r>
      <w:r>
        <w:rPr>
          <w:rFonts w:hint="default" w:ascii="仿宋_GB2312" w:hAnsi="仿宋_GB2312" w:eastAsia="仿宋_GB2312" w:cs="仿宋_GB2312"/>
          <w:color w:val="auto"/>
          <w:kern w:val="0"/>
          <w:sz w:val="28"/>
          <w:szCs w:val="28"/>
          <w:highlight w:val="none"/>
          <w:lang w:val="en-US" w:eastAsia="zh-CN"/>
        </w:rPr>
        <w:t xml:space="preserve">                      </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（2）乙方</w:t>
      </w:r>
      <w:r>
        <w:rPr>
          <w:rFonts w:hint="default" w:ascii="仿宋_GB2312" w:hAnsi="仿宋_GB2312" w:eastAsia="仿宋_GB2312" w:cs="仿宋_GB2312"/>
          <w:color w:val="auto"/>
          <w:kern w:val="0"/>
          <w:sz w:val="28"/>
          <w:szCs w:val="28"/>
          <w:highlight w:val="none"/>
          <w:lang w:val="en-US" w:eastAsia="zh-CN"/>
        </w:rPr>
        <w:t>地址：</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联系人：</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联系方式：</w:t>
      </w:r>
    </w:p>
    <w:p>
      <w:pPr>
        <w:overflowPunct w:val="0"/>
        <w:autoSpaceDE w:val="0"/>
        <w:ind w:firstLine="478" w:firstLineChars="171"/>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（3）如拒绝签收的，将文件张贴在约定送达地址显眼位置出并拍照留存，视为送达。</w:t>
      </w:r>
    </w:p>
    <w:p>
      <w:pPr>
        <w:overflowPunct w:val="0"/>
        <w:autoSpaceDE w:val="0"/>
        <w:ind w:firstLine="478" w:firstLineChars="171"/>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 xml:space="preserve">21.3.5 </w:t>
      </w:r>
      <w:r>
        <w:rPr>
          <w:rFonts w:hint="default" w:ascii="仿宋_GB2312" w:hAnsi="仿宋_GB2312" w:eastAsia="仿宋_GB2312" w:cs="仿宋_GB2312"/>
          <w:color w:val="auto"/>
          <w:kern w:val="0"/>
          <w:sz w:val="28"/>
          <w:szCs w:val="28"/>
          <w:highlight w:val="none"/>
          <w:lang w:val="en-US" w:eastAsia="zh-CN"/>
        </w:rPr>
        <w:t>邮寄送达</w:t>
      </w:r>
    </w:p>
    <w:p>
      <w:pPr>
        <w:overflowPunct w:val="0"/>
        <w:autoSpaceDE w:val="0"/>
        <w:ind w:firstLine="478" w:firstLineChars="171"/>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（1）甲方</w:t>
      </w:r>
      <w:r>
        <w:rPr>
          <w:rFonts w:hint="default" w:ascii="仿宋_GB2312" w:hAnsi="仿宋_GB2312" w:eastAsia="仿宋_GB2312" w:cs="仿宋_GB2312"/>
          <w:color w:val="auto"/>
          <w:kern w:val="0"/>
          <w:sz w:val="28"/>
          <w:szCs w:val="28"/>
          <w:highlight w:val="none"/>
          <w:lang w:val="en-US" w:eastAsia="zh-CN"/>
        </w:rPr>
        <w:t>地址：</w:t>
      </w:r>
      <w:r>
        <w:rPr>
          <w:rFonts w:hint="eastAsia" w:ascii="仿宋_GB2312" w:hAnsi="仿宋_GB2312" w:eastAsia="仿宋_GB2312" w:cs="仿宋_GB2312"/>
          <w:color w:val="auto"/>
          <w:kern w:val="0"/>
          <w:sz w:val="28"/>
          <w:szCs w:val="28"/>
          <w:highlight w:val="none"/>
          <w:lang w:val="en-US" w:eastAsia="zh-CN"/>
        </w:rPr>
        <w:tab/>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联系人：</w:t>
      </w:r>
    </w:p>
    <w:p>
      <w:pPr>
        <w:overflowPunct w:val="0"/>
        <w:autoSpaceDE w:val="0"/>
        <w:ind w:firstLine="478" w:firstLineChars="171"/>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联系方式：</w:t>
      </w:r>
      <w:r>
        <w:rPr>
          <w:rFonts w:hint="default" w:ascii="仿宋_GB2312" w:hAnsi="仿宋_GB2312" w:eastAsia="仿宋_GB2312" w:cs="仿宋_GB2312"/>
          <w:color w:val="auto"/>
          <w:kern w:val="0"/>
          <w:sz w:val="28"/>
          <w:szCs w:val="28"/>
          <w:highlight w:val="none"/>
          <w:lang w:val="en-US" w:eastAsia="zh-CN"/>
        </w:rPr>
        <w:t xml:space="preserve">                      </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（2）乙方</w:t>
      </w:r>
      <w:r>
        <w:rPr>
          <w:rFonts w:hint="default" w:ascii="仿宋_GB2312" w:hAnsi="仿宋_GB2312" w:eastAsia="仿宋_GB2312" w:cs="仿宋_GB2312"/>
          <w:color w:val="auto"/>
          <w:kern w:val="0"/>
          <w:sz w:val="28"/>
          <w:szCs w:val="28"/>
          <w:highlight w:val="none"/>
          <w:lang w:val="en-US" w:eastAsia="zh-CN"/>
        </w:rPr>
        <w:t>地址：</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联系人：</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联系方式：</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（3）如无人签收或拒绝签收的，以邮件物流信息显示的达到约定地址之日视为送达。</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21.4 本合同未尽事项，由双方协商解决，并签订补充协议进一步明确各方的权利义务。</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21.5 本合同自双方签字盖章之日起生效。本合同一式</w:t>
      </w:r>
      <w:r>
        <w:rPr>
          <w:rFonts w:hint="eastAsia" w:ascii="仿宋_GB2312" w:hAnsi="仿宋_GB2312" w:eastAsia="仿宋_GB2312" w:cs="仿宋_GB2312"/>
          <w:color w:val="auto"/>
          <w:kern w:val="0"/>
          <w:sz w:val="28"/>
          <w:szCs w:val="28"/>
          <w:highlight w:val="none"/>
          <w:u w:val="single"/>
          <w:lang w:val="en-US" w:eastAsia="zh-CN"/>
        </w:rPr>
        <w:t xml:space="preserve">   </w:t>
      </w:r>
      <w:r>
        <w:rPr>
          <w:rFonts w:hint="eastAsia" w:ascii="仿宋_GB2312" w:hAnsi="仿宋_GB2312" w:eastAsia="仿宋_GB2312" w:cs="仿宋_GB2312"/>
          <w:color w:val="auto"/>
          <w:kern w:val="0"/>
          <w:sz w:val="28"/>
          <w:szCs w:val="28"/>
          <w:highlight w:val="none"/>
          <w:lang w:val="en-US" w:eastAsia="zh-CN"/>
        </w:rPr>
        <w:t>份，其中正本</w:t>
      </w:r>
      <w:r>
        <w:rPr>
          <w:rFonts w:hint="eastAsia" w:ascii="仿宋_GB2312" w:hAnsi="仿宋_GB2312" w:eastAsia="仿宋_GB2312" w:cs="仿宋_GB2312"/>
          <w:color w:val="auto"/>
          <w:kern w:val="0"/>
          <w:sz w:val="28"/>
          <w:szCs w:val="28"/>
          <w:highlight w:val="none"/>
          <w:u w:val="single"/>
          <w:lang w:val="en-US" w:eastAsia="zh-CN"/>
        </w:rPr>
        <w:t xml:space="preserve">   </w:t>
      </w:r>
      <w:r>
        <w:rPr>
          <w:rFonts w:hint="eastAsia" w:ascii="仿宋_GB2312" w:hAnsi="仿宋_GB2312" w:eastAsia="仿宋_GB2312" w:cs="仿宋_GB2312"/>
          <w:color w:val="auto"/>
          <w:kern w:val="0"/>
          <w:sz w:val="28"/>
          <w:szCs w:val="28"/>
          <w:highlight w:val="none"/>
          <w:lang w:val="en-US" w:eastAsia="zh-CN"/>
        </w:rPr>
        <w:t>份，副本</w:t>
      </w:r>
      <w:r>
        <w:rPr>
          <w:rFonts w:hint="eastAsia" w:ascii="仿宋_GB2312" w:hAnsi="仿宋_GB2312" w:eastAsia="仿宋_GB2312" w:cs="仿宋_GB2312"/>
          <w:color w:val="auto"/>
          <w:kern w:val="0"/>
          <w:sz w:val="28"/>
          <w:szCs w:val="28"/>
          <w:highlight w:val="none"/>
          <w:u w:val="single"/>
          <w:lang w:val="en-US" w:eastAsia="zh-CN"/>
        </w:rPr>
        <w:t xml:space="preserve">   </w:t>
      </w:r>
      <w:r>
        <w:rPr>
          <w:rFonts w:hint="eastAsia" w:ascii="仿宋_GB2312" w:hAnsi="仿宋_GB2312" w:eastAsia="仿宋_GB2312" w:cs="仿宋_GB2312"/>
          <w:color w:val="auto"/>
          <w:kern w:val="0"/>
          <w:sz w:val="28"/>
          <w:szCs w:val="28"/>
          <w:highlight w:val="none"/>
          <w:lang w:val="en-US" w:eastAsia="zh-CN"/>
        </w:rPr>
        <w:t>份，正副本具有同等效力，甲方</w:t>
      </w:r>
      <w:r>
        <w:rPr>
          <w:rFonts w:hint="eastAsia" w:ascii="仿宋_GB2312" w:hAnsi="仿宋_GB2312" w:eastAsia="仿宋_GB2312" w:cs="仿宋_GB2312"/>
          <w:color w:val="auto"/>
          <w:kern w:val="0"/>
          <w:sz w:val="28"/>
          <w:szCs w:val="28"/>
          <w:highlight w:val="none"/>
          <w:u w:val="single"/>
          <w:lang w:val="en-US" w:eastAsia="zh-CN"/>
        </w:rPr>
        <w:t xml:space="preserve">   </w:t>
      </w:r>
      <w:r>
        <w:rPr>
          <w:rFonts w:hint="eastAsia" w:ascii="仿宋_GB2312" w:hAnsi="仿宋_GB2312" w:eastAsia="仿宋_GB2312" w:cs="仿宋_GB2312"/>
          <w:color w:val="auto"/>
          <w:kern w:val="0"/>
          <w:sz w:val="28"/>
          <w:szCs w:val="28"/>
          <w:highlight w:val="none"/>
          <w:lang w:val="en-US" w:eastAsia="zh-CN"/>
        </w:rPr>
        <w:t>正</w:t>
      </w:r>
      <w:r>
        <w:rPr>
          <w:rFonts w:hint="eastAsia" w:ascii="仿宋_GB2312" w:hAnsi="仿宋_GB2312" w:eastAsia="仿宋_GB2312" w:cs="仿宋_GB2312"/>
          <w:color w:val="auto"/>
          <w:kern w:val="0"/>
          <w:sz w:val="28"/>
          <w:szCs w:val="28"/>
          <w:highlight w:val="none"/>
          <w:u w:val="single"/>
          <w:lang w:val="en-US" w:eastAsia="zh-CN"/>
        </w:rPr>
        <w:t xml:space="preserve">   </w:t>
      </w:r>
      <w:r>
        <w:rPr>
          <w:rFonts w:hint="eastAsia" w:ascii="仿宋_GB2312" w:hAnsi="仿宋_GB2312" w:eastAsia="仿宋_GB2312" w:cs="仿宋_GB2312"/>
          <w:color w:val="auto"/>
          <w:kern w:val="0"/>
          <w:sz w:val="28"/>
          <w:szCs w:val="28"/>
          <w:highlight w:val="none"/>
          <w:lang w:val="en-US" w:eastAsia="zh-CN"/>
        </w:rPr>
        <w:t>副，乙方</w:t>
      </w:r>
      <w:r>
        <w:rPr>
          <w:rFonts w:hint="eastAsia" w:ascii="仿宋_GB2312" w:hAnsi="仿宋_GB2312" w:eastAsia="仿宋_GB2312" w:cs="仿宋_GB2312"/>
          <w:color w:val="auto"/>
          <w:kern w:val="0"/>
          <w:sz w:val="28"/>
          <w:szCs w:val="28"/>
          <w:highlight w:val="none"/>
          <w:u w:val="single"/>
          <w:lang w:val="en-US" w:eastAsia="zh-CN"/>
        </w:rPr>
        <w:t xml:space="preserve">   </w:t>
      </w:r>
      <w:r>
        <w:rPr>
          <w:rFonts w:hint="eastAsia" w:ascii="仿宋_GB2312" w:hAnsi="仿宋_GB2312" w:eastAsia="仿宋_GB2312" w:cs="仿宋_GB2312"/>
          <w:color w:val="auto"/>
          <w:kern w:val="0"/>
          <w:sz w:val="28"/>
          <w:szCs w:val="28"/>
          <w:highlight w:val="none"/>
          <w:lang w:val="en-US" w:eastAsia="zh-CN"/>
        </w:rPr>
        <w:t>正</w:t>
      </w:r>
      <w:r>
        <w:rPr>
          <w:rFonts w:hint="eastAsia" w:ascii="仿宋_GB2312" w:hAnsi="仿宋_GB2312" w:eastAsia="仿宋_GB2312" w:cs="仿宋_GB2312"/>
          <w:color w:val="auto"/>
          <w:kern w:val="0"/>
          <w:sz w:val="28"/>
          <w:szCs w:val="28"/>
          <w:highlight w:val="none"/>
          <w:u w:val="single"/>
          <w:lang w:val="en-US" w:eastAsia="zh-CN"/>
        </w:rPr>
        <w:t xml:space="preserve">   </w:t>
      </w:r>
      <w:r>
        <w:rPr>
          <w:rFonts w:hint="eastAsia" w:ascii="仿宋_GB2312" w:hAnsi="仿宋_GB2312" w:eastAsia="仿宋_GB2312" w:cs="仿宋_GB2312"/>
          <w:color w:val="auto"/>
          <w:kern w:val="0"/>
          <w:sz w:val="28"/>
          <w:szCs w:val="28"/>
          <w:highlight w:val="none"/>
          <w:lang w:val="en-US" w:eastAsia="zh-CN"/>
        </w:rPr>
        <w:t>副。</w:t>
      </w:r>
    </w:p>
    <w:p>
      <w:pPr>
        <w:overflowPunct w:val="0"/>
        <w:autoSpaceDE w:val="0"/>
        <w:ind w:firstLine="478" w:firstLineChars="171"/>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21.6 本合同附件是本合同不可分割的组成部分，与本合同具有同等效力。自本合同生效之日起，双方之前就出租标的租赁提交的书面承诺与本合同不一致或相冲突之处，以本合同约定为准。</w:t>
      </w:r>
    </w:p>
    <w:p>
      <w:pPr>
        <w:overflowPunct w:val="0"/>
        <w:autoSpaceDE w:val="0"/>
        <w:ind w:firstLine="560" w:firstLineChars="200"/>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附件：</w:t>
      </w:r>
    </w:p>
    <w:p>
      <w:pPr>
        <w:overflowPunct w:val="0"/>
        <w:autoSpaceDE w:val="0"/>
        <w:ind w:firstLine="560" w:firstLineChars="200"/>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1.贵阳轨道交通1号线工程车站物业空间设置情况及预留措施统计表</w:t>
      </w:r>
    </w:p>
    <w:p>
      <w:pPr>
        <w:overflowPunct w:val="0"/>
        <w:autoSpaceDE w:val="0"/>
        <w:ind w:firstLine="560" w:firstLineChars="200"/>
        <w:rPr>
          <w:rFonts w:asciiTheme="majorEastAsia" w:hAnsiTheme="majorEastAsia" w:eastAsiaTheme="majorEastAsia"/>
          <w:b/>
          <w:sz w:val="44"/>
          <w:szCs w:val="44"/>
        </w:rPr>
      </w:pPr>
      <w:r>
        <w:rPr>
          <w:rFonts w:hint="eastAsia" w:ascii="仿宋_GB2312" w:hAnsi="仿宋_GB2312" w:eastAsia="仿宋_GB2312" w:cs="仿宋_GB2312"/>
          <w:color w:val="auto"/>
          <w:kern w:val="0"/>
          <w:sz w:val="28"/>
          <w:szCs w:val="28"/>
          <w:highlight w:val="none"/>
          <w:lang w:val="en-US" w:eastAsia="zh-CN"/>
        </w:rPr>
        <w:t>2.贵阳轨道交通1号线物业空间安全管理协议</w:t>
      </w:r>
    </w:p>
    <w:p>
      <w:pPr>
        <w:overflowPunct w:val="0"/>
        <w:autoSpaceDE w:val="0"/>
        <w:ind w:firstLine="560" w:firstLineChars="200"/>
        <w:rPr>
          <w:rFonts w:hint="default" w:ascii="仿宋_GB2312" w:hAnsi="仿宋_GB2312" w:eastAsia="仿宋_GB2312" w:cs="仿宋_GB2312"/>
          <w:color w:val="auto"/>
          <w:kern w:val="0"/>
          <w:sz w:val="28"/>
          <w:szCs w:val="28"/>
          <w:highlight w:val="none"/>
          <w:lang w:val="en-US" w:eastAsia="zh-CN"/>
        </w:rPr>
      </w:pPr>
    </w:p>
    <w:p>
      <w:pPr>
        <w:pStyle w:val="2"/>
        <w:rPr>
          <w:rFonts w:ascii="仿宋" w:hAnsi="仿宋" w:eastAsia="仿宋" w:cs="仿宋"/>
          <w:b/>
          <w:bCs/>
          <w:color w:val="auto"/>
          <w:sz w:val="32"/>
          <w:szCs w:val="32"/>
          <w:highlight w:val="none"/>
        </w:rPr>
      </w:pPr>
    </w:p>
    <w:p>
      <w:pPr>
        <w:pStyle w:val="2"/>
        <w:rPr>
          <w:rFonts w:ascii="仿宋" w:hAnsi="仿宋" w:eastAsia="仿宋" w:cs="仿宋"/>
          <w:b/>
          <w:bCs/>
          <w:color w:val="auto"/>
          <w:sz w:val="32"/>
          <w:szCs w:val="32"/>
          <w:highlight w:val="none"/>
        </w:rPr>
      </w:pPr>
    </w:p>
    <w:p>
      <w:pPr>
        <w:overflowPunct w:val="0"/>
        <w:autoSpaceDE w:val="0"/>
        <w:spacing w:line="360" w:lineRule="auto"/>
        <w:rPr>
          <w:rFonts w:hint="eastAsia" w:ascii="仿宋" w:hAnsi="仿宋" w:eastAsia="仿宋" w:cs="仿宋"/>
          <w:b/>
          <w:bCs/>
          <w:color w:val="auto"/>
          <w:sz w:val="32"/>
          <w:szCs w:val="32"/>
          <w:highlight w:val="none"/>
        </w:rPr>
      </w:pPr>
    </w:p>
    <w:p>
      <w:pPr>
        <w:pStyle w:val="2"/>
        <w:rPr>
          <w:rFonts w:hint="eastAsia" w:ascii="仿宋" w:hAnsi="仿宋" w:eastAsia="仿宋" w:cs="仿宋"/>
          <w:b/>
          <w:bCs/>
          <w:color w:val="auto"/>
          <w:sz w:val="32"/>
          <w:szCs w:val="32"/>
          <w:highlight w:val="none"/>
        </w:rPr>
      </w:pPr>
    </w:p>
    <w:p>
      <w:pPr>
        <w:pStyle w:val="2"/>
        <w:rPr>
          <w:rFonts w:hint="eastAsia" w:ascii="仿宋" w:hAnsi="仿宋" w:eastAsia="仿宋" w:cs="仿宋"/>
          <w:b/>
          <w:bCs/>
          <w:color w:val="auto"/>
          <w:sz w:val="32"/>
          <w:szCs w:val="32"/>
          <w:highlight w:val="none"/>
        </w:rPr>
      </w:pPr>
    </w:p>
    <w:p>
      <w:pPr>
        <w:pStyle w:val="2"/>
        <w:rPr>
          <w:rFonts w:hint="eastAsia" w:ascii="仿宋" w:hAnsi="仿宋" w:eastAsia="仿宋" w:cs="仿宋"/>
          <w:b/>
          <w:bCs/>
          <w:color w:val="auto"/>
          <w:sz w:val="32"/>
          <w:szCs w:val="32"/>
          <w:highlight w:val="none"/>
        </w:rPr>
      </w:pPr>
    </w:p>
    <w:p>
      <w:pPr>
        <w:pStyle w:val="2"/>
        <w:rPr>
          <w:rFonts w:hint="eastAsia" w:ascii="仿宋" w:hAnsi="仿宋" w:eastAsia="仿宋" w:cs="仿宋"/>
          <w:b/>
          <w:bCs/>
          <w:color w:val="auto"/>
          <w:sz w:val="32"/>
          <w:szCs w:val="32"/>
          <w:highlight w:val="none"/>
        </w:rPr>
      </w:pPr>
    </w:p>
    <w:p>
      <w:pPr>
        <w:pStyle w:val="2"/>
        <w:rPr>
          <w:rFonts w:hint="eastAsia" w:ascii="仿宋" w:hAnsi="仿宋" w:eastAsia="仿宋" w:cs="仿宋"/>
          <w:b/>
          <w:bCs/>
          <w:color w:val="auto"/>
          <w:sz w:val="32"/>
          <w:szCs w:val="32"/>
          <w:highlight w:val="none"/>
        </w:rPr>
      </w:pPr>
    </w:p>
    <w:p>
      <w:pPr>
        <w:pStyle w:val="2"/>
        <w:rPr>
          <w:rFonts w:hint="eastAsia" w:ascii="仿宋" w:hAnsi="仿宋" w:eastAsia="仿宋" w:cs="仿宋"/>
          <w:b/>
          <w:bCs/>
          <w:color w:val="auto"/>
          <w:sz w:val="32"/>
          <w:szCs w:val="32"/>
          <w:highlight w:val="none"/>
        </w:rPr>
      </w:pPr>
    </w:p>
    <w:p>
      <w:pPr>
        <w:overflowPunct w:val="0"/>
        <w:autoSpaceDE w:val="0"/>
        <w:spacing w:line="360" w:lineRule="auto"/>
        <w:rPr>
          <w:rFonts w:hint="eastAsia" w:ascii="仿宋" w:hAnsi="仿宋" w:eastAsia="仿宋" w:cs="仿宋"/>
          <w:b/>
          <w:bCs/>
          <w:color w:val="auto"/>
          <w:sz w:val="32"/>
          <w:szCs w:val="32"/>
          <w:highlight w:val="none"/>
        </w:rPr>
      </w:pPr>
    </w:p>
    <w:p>
      <w:pPr>
        <w:overflowPunct w:val="0"/>
        <w:autoSpaceDE w:val="0"/>
        <w:spacing w:line="360" w:lineRule="auto"/>
        <w:rPr>
          <w:rFonts w:hint="eastAsia" w:ascii="仿宋" w:hAnsi="仿宋" w:eastAsia="仿宋" w:cs="仿宋"/>
          <w:b/>
          <w:bCs/>
          <w:color w:val="auto"/>
          <w:sz w:val="32"/>
          <w:szCs w:val="32"/>
          <w:highlight w:val="none"/>
        </w:rPr>
      </w:pPr>
    </w:p>
    <w:p>
      <w:pPr>
        <w:overflowPunct w:val="0"/>
        <w:autoSpaceDE w:val="0"/>
        <w:spacing w:line="360" w:lineRule="auto"/>
        <w:rPr>
          <w:rFonts w:hint="eastAsia" w:ascii="仿宋" w:hAnsi="仿宋" w:eastAsia="仿宋" w:cs="仿宋"/>
          <w:b/>
          <w:bCs/>
          <w:color w:val="auto"/>
          <w:sz w:val="32"/>
          <w:szCs w:val="32"/>
          <w:highlight w:val="none"/>
        </w:rPr>
      </w:pPr>
    </w:p>
    <w:p>
      <w:pPr>
        <w:overflowPunct w:val="0"/>
        <w:autoSpaceDE w:val="0"/>
        <w:spacing w:line="360" w:lineRule="auto"/>
        <w:rPr>
          <w:rFonts w:hint="eastAsia" w:ascii="仿宋" w:hAnsi="仿宋" w:eastAsia="仿宋" w:cs="仿宋"/>
          <w:b/>
          <w:bCs/>
          <w:color w:val="auto"/>
          <w:sz w:val="32"/>
          <w:szCs w:val="32"/>
          <w:highlight w:val="none"/>
        </w:rPr>
      </w:pPr>
    </w:p>
    <w:p>
      <w:pPr>
        <w:pStyle w:val="2"/>
        <w:ind w:left="0" w:leftChars="0" w:firstLine="0" w:firstLineChars="0"/>
        <w:rPr>
          <w:rFonts w:hint="eastAsia" w:ascii="仿宋" w:hAnsi="仿宋" w:eastAsia="仿宋" w:cs="仿宋"/>
          <w:b/>
          <w:bCs/>
          <w:color w:val="auto"/>
          <w:sz w:val="32"/>
          <w:szCs w:val="32"/>
          <w:highlight w:val="none"/>
        </w:rPr>
      </w:pPr>
    </w:p>
    <w:p>
      <w:pPr>
        <w:overflowPunct w:val="0"/>
        <w:autoSpaceDE w:val="0"/>
        <w:spacing w:line="360" w:lineRule="auto"/>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(此页无正文)</w:t>
      </w:r>
    </w:p>
    <w:p>
      <w:pPr>
        <w:overflowPunct/>
        <w:autoSpaceDE/>
        <w:spacing w:line="240" w:lineRule="auto"/>
        <w:ind w:firstLine="560"/>
        <w:rPr>
          <w:rFonts w:hint="eastAsia" w:ascii="仿宋_GB2312" w:hAnsi="仿宋_GB2312" w:eastAsia="仿宋_GB2312" w:cs="仿宋_GB2312"/>
          <w:b w:val="0"/>
          <w:bCs w:val="0"/>
          <w:color w:val="auto"/>
          <w:kern w:val="0"/>
          <w:sz w:val="28"/>
          <w:szCs w:val="28"/>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lang w:eastAsia="zh-CN"/>
        </w:rPr>
        <w:t>甲方</w:t>
      </w:r>
      <w:r>
        <w:rPr>
          <w:rFonts w:hint="eastAsia" w:ascii="仿宋_GB2312" w:hAnsi="仿宋_GB2312" w:eastAsia="仿宋_GB2312" w:cs="仿宋_GB2312"/>
          <w:color w:val="auto"/>
          <w:kern w:val="0"/>
          <w:sz w:val="28"/>
          <w:szCs w:val="28"/>
          <w:highlight w:val="none"/>
        </w:rPr>
        <w:t xml:space="preserve">（签章）：          　　　  </w:t>
      </w:r>
      <w:r>
        <w:rPr>
          <w:rFonts w:hint="eastAsia" w:ascii="仿宋_GB2312" w:hAnsi="仿宋_GB2312" w:eastAsia="仿宋_GB2312" w:cs="仿宋_GB2312"/>
          <w:color w:val="auto"/>
          <w:kern w:val="0"/>
          <w:sz w:val="28"/>
          <w:szCs w:val="28"/>
          <w:highlight w:val="none"/>
          <w:lang w:val="en-US" w:eastAsia="zh-CN"/>
        </w:rPr>
        <w:t xml:space="preserve">  </w:t>
      </w:r>
      <w:r>
        <w:rPr>
          <w:rFonts w:hint="eastAsia" w:ascii="仿宋_GB2312" w:hAnsi="仿宋_GB2312" w:eastAsia="仿宋_GB2312" w:cs="仿宋_GB2312"/>
          <w:color w:val="auto"/>
          <w:kern w:val="0"/>
          <w:sz w:val="28"/>
          <w:szCs w:val="28"/>
          <w:highlight w:val="none"/>
          <w:lang w:eastAsia="zh-CN"/>
        </w:rPr>
        <w:t>乙方</w:t>
      </w:r>
      <w:r>
        <w:rPr>
          <w:rFonts w:hint="eastAsia" w:ascii="仿宋_GB2312" w:hAnsi="仿宋_GB2312" w:eastAsia="仿宋_GB2312" w:cs="仿宋_GB2312"/>
          <w:color w:val="auto"/>
          <w:kern w:val="0"/>
          <w:sz w:val="28"/>
          <w:szCs w:val="28"/>
          <w:highlight w:val="none"/>
        </w:rPr>
        <w:t>（签章）：</w:t>
      </w: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hint="eastAsia" w:ascii="仿宋_GB2312" w:hAnsi="仿宋_GB2312" w:eastAsia="仿宋_GB2312" w:cs="仿宋_GB2312"/>
          <w:color w:val="auto"/>
          <w:kern w:val="0"/>
          <w:sz w:val="28"/>
          <w:szCs w:val="28"/>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xml:space="preserve">法定代表人：　　　　　　　　    </w:t>
      </w:r>
      <w:r>
        <w:rPr>
          <w:rFonts w:hint="eastAsia" w:ascii="仿宋_GB2312" w:hAnsi="仿宋_GB2312" w:eastAsia="仿宋_GB2312" w:cs="仿宋_GB2312"/>
          <w:color w:val="auto"/>
          <w:kern w:val="0"/>
          <w:sz w:val="28"/>
          <w:szCs w:val="28"/>
          <w:highlight w:val="none"/>
          <w:lang w:val="en-US" w:eastAsia="zh-CN"/>
        </w:rPr>
        <w:t xml:space="preserve">  </w:t>
      </w:r>
      <w:r>
        <w:rPr>
          <w:rFonts w:hint="eastAsia" w:ascii="仿宋_GB2312" w:hAnsi="仿宋_GB2312" w:eastAsia="仿宋_GB2312" w:cs="仿宋_GB2312"/>
          <w:color w:val="auto"/>
          <w:kern w:val="0"/>
          <w:sz w:val="28"/>
          <w:szCs w:val="28"/>
          <w:highlight w:val="none"/>
        </w:rPr>
        <w:t>法定代表人：</w:t>
      </w: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或委托代理人：　　　　　　　　　</w:t>
      </w:r>
      <w:r>
        <w:rPr>
          <w:rFonts w:hint="eastAsia" w:ascii="仿宋_GB2312" w:hAnsi="仿宋_GB2312" w:eastAsia="仿宋_GB2312" w:cs="仿宋_GB2312"/>
          <w:color w:val="auto"/>
          <w:kern w:val="0"/>
          <w:sz w:val="28"/>
          <w:szCs w:val="28"/>
          <w:highlight w:val="none"/>
          <w:lang w:val="en-US" w:eastAsia="zh-CN"/>
        </w:rPr>
        <w:t xml:space="preserve">  </w:t>
      </w:r>
      <w:r>
        <w:rPr>
          <w:rFonts w:hint="eastAsia" w:ascii="仿宋_GB2312" w:hAnsi="仿宋_GB2312" w:eastAsia="仿宋_GB2312" w:cs="仿宋_GB2312"/>
          <w:color w:val="auto"/>
          <w:kern w:val="0"/>
          <w:sz w:val="28"/>
          <w:szCs w:val="28"/>
          <w:highlight w:val="none"/>
        </w:rPr>
        <w:t>或委托代理人：</w:t>
      </w: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hint="eastAsia" w:ascii="仿宋_GB2312" w:hAnsi="仿宋_GB2312" w:eastAsia="仿宋_GB2312" w:cs="仿宋_GB2312"/>
          <w:color w:val="auto"/>
          <w:kern w:val="0"/>
          <w:sz w:val="28"/>
          <w:szCs w:val="28"/>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xml:space="preserve">经办人：                       </w:t>
      </w:r>
      <w:r>
        <w:rPr>
          <w:rFonts w:hint="eastAsia" w:ascii="仿宋_GB2312" w:hAnsi="仿宋_GB2312" w:eastAsia="仿宋_GB2312" w:cs="仿宋_GB2312"/>
          <w:color w:val="auto"/>
          <w:kern w:val="0"/>
          <w:sz w:val="28"/>
          <w:szCs w:val="28"/>
          <w:highlight w:val="none"/>
          <w:lang w:val="en-US" w:eastAsia="zh-CN"/>
        </w:rPr>
        <w:t xml:space="preserve">  </w:t>
      </w:r>
      <w:r>
        <w:rPr>
          <w:rFonts w:hint="eastAsia" w:ascii="仿宋_GB2312" w:hAnsi="仿宋_GB2312" w:eastAsia="仿宋_GB2312" w:cs="仿宋_GB2312"/>
          <w:color w:val="auto"/>
          <w:kern w:val="0"/>
          <w:sz w:val="28"/>
          <w:szCs w:val="28"/>
          <w:highlight w:val="none"/>
        </w:rPr>
        <w:t xml:space="preserve"> 经办人：</w:t>
      </w: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xml:space="preserve"> </w:t>
      </w:r>
    </w:p>
    <w:p>
      <w:pPr>
        <w:autoSpaceDE/>
        <w:autoSpaceDN/>
        <w:adjustRightInd/>
        <w:spacing w:line="240" w:lineRule="auto"/>
        <w:ind w:firstLine="560"/>
        <w:jc w:val="left"/>
        <w:rPr>
          <w:rFonts w:hint="eastAsia" w:ascii="仿宋_GB2312" w:hAnsi="仿宋_GB2312" w:eastAsia="仿宋_GB2312" w:cs="仿宋_GB2312"/>
          <w:color w:val="auto"/>
          <w:kern w:val="0"/>
          <w:sz w:val="28"/>
          <w:szCs w:val="28"/>
          <w:highlight w:val="none"/>
        </w:rPr>
      </w:pPr>
    </w:p>
    <w:p>
      <w:pPr>
        <w:ind w:left="480" w:firstLine="560"/>
        <w:rPr>
          <w:rFonts w:hint="eastAsia" w:ascii="仿宋_GB2312" w:hAnsi="仿宋_GB2312" w:eastAsia="仿宋_GB2312" w:cs="仿宋_GB2312"/>
          <w:color w:val="auto"/>
          <w:kern w:val="0"/>
          <w:sz w:val="28"/>
          <w:szCs w:val="28"/>
          <w:highlight w:val="none"/>
        </w:rPr>
      </w:pPr>
    </w:p>
    <w:p>
      <w:pPr>
        <w:ind w:left="480" w:firstLine="560"/>
        <w:rPr>
          <w:rFonts w:hint="eastAsia" w:ascii="仿宋_GB2312" w:hAnsi="仿宋_GB2312" w:eastAsia="仿宋_GB2312" w:cs="仿宋_GB2312"/>
          <w:color w:val="auto"/>
          <w:kern w:val="0"/>
          <w:sz w:val="28"/>
          <w:szCs w:val="28"/>
          <w:highlight w:val="none"/>
        </w:rPr>
      </w:pPr>
    </w:p>
    <w:p>
      <w:pPr>
        <w:ind w:left="480" w:firstLine="560"/>
        <w:rPr>
          <w:rFonts w:hint="eastAsia" w:ascii="仿宋_GB2312" w:hAnsi="仿宋_GB2312" w:eastAsia="仿宋_GB2312" w:cs="仿宋_GB2312"/>
          <w:color w:val="auto"/>
          <w:kern w:val="0"/>
          <w:sz w:val="28"/>
          <w:szCs w:val="28"/>
          <w:highlight w:val="none"/>
        </w:rPr>
      </w:pPr>
    </w:p>
    <w:p>
      <w:pPr>
        <w:ind w:left="480" w:firstLine="560"/>
        <w:rPr>
          <w:rFonts w:hint="eastAsia" w:ascii="仿宋_GB2312" w:hAnsi="仿宋_GB2312" w:eastAsia="仿宋_GB2312" w:cs="仿宋_GB2312"/>
          <w:color w:val="auto"/>
          <w:kern w:val="0"/>
          <w:sz w:val="28"/>
          <w:szCs w:val="28"/>
          <w:highlight w:val="none"/>
        </w:rPr>
      </w:pPr>
    </w:p>
    <w:p>
      <w:pPr>
        <w:ind w:left="0" w:leftChars="0" w:firstLine="3080" w:firstLineChars="1100"/>
        <w:jc w:val="righ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签订地点：贵阳市</w:t>
      </w:r>
    </w:p>
    <w:p>
      <w:pPr>
        <w:ind w:left="0" w:leftChars="0" w:firstLine="3080" w:firstLineChars="1100"/>
        <w:jc w:val="righ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签订日期:202</w:t>
      </w:r>
      <w:r>
        <w:rPr>
          <w:rFonts w:hint="eastAsia" w:ascii="仿宋_GB2312" w:hAnsi="仿宋_GB2312" w:eastAsia="仿宋_GB2312" w:cs="仿宋_GB2312"/>
          <w:color w:val="auto"/>
          <w:kern w:val="0"/>
          <w:sz w:val="28"/>
          <w:szCs w:val="28"/>
          <w:highlight w:val="none"/>
          <w:lang w:val="en-US" w:eastAsia="zh-CN"/>
        </w:rPr>
        <w:t>4</w:t>
      </w:r>
      <w:r>
        <w:rPr>
          <w:rFonts w:hint="eastAsia" w:ascii="仿宋_GB2312" w:hAnsi="仿宋_GB2312" w:eastAsia="仿宋_GB2312" w:cs="仿宋_GB2312"/>
          <w:color w:val="auto"/>
          <w:kern w:val="0"/>
          <w:sz w:val="28"/>
          <w:szCs w:val="28"/>
          <w:highlight w:val="none"/>
        </w:rPr>
        <w:t>年</w:t>
      </w:r>
      <w:r>
        <w:rPr>
          <w:rFonts w:hint="eastAsia" w:ascii="仿宋_GB2312" w:hAnsi="仿宋_GB2312" w:eastAsia="仿宋_GB2312" w:cs="仿宋_GB2312"/>
          <w:color w:val="auto"/>
          <w:kern w:val="0"/>
          <w:sz w:val="28"/>
          <w:szCs w:val="28"/>
          <w:highlight w:val="none"/>
          <w:lang w:val="en-US" w:eastAsia="zh-CN"/>
        </w:rPr>
        <w:t xml:space="preserve"> </w:t>
      </w:r>
      <w:r>
        <w:rPr>
          <w:rFonts w:hint="eastAsia" w:ascii="仿宋_GB2312" w:hAnsi="仿宋_GB2312" w:eastAsia="仿宋_GB2312" w:cs="仿宋_GB2312"/>
          <w:color w:val="auto"/>
          <w:kern w:val="0"/>
          <w:sz w:val="28"/>
          <w:szCs w:val="28"/>
          <w:highlight w:val="none"/>
        </w:rPr>
        <w:t>月</w:t>
      </w:r>
      <w:r>
        <w:rPr>
          <w:rFonts w:hint="eastAsia" w:ascii="仿宋_GB2312" w:hAnsi="仿宋_GB2312" w:eastAsia="仿宋_GB2312" w:cs="仿宋_GB2312"/>
          <w:color w:val="auto"/>
          <w:kern w:val="0"/>
          <w:sz w:val="28"/>
          <w:szCs w:val="28"/>
          <w:highlight w:val="none"/>
          <w:lang w:val="en-US" w:eastAsia="zh-CN"/>
        </w:rPr>
        <w:t xml:space="preserve"> </w:t>
      </w:r>
      <w:r>
        <w:rPr>
          <w:rFonts w:hint="eastAsia" w:ascii="仿宋_GB2312" w:hAnsi="仿宋_GB2312" w:eastAsia="仿宋_GB2312" w:cs="仿宋_GB2312"/>
          <w:color w:val="auto"/>
          <w:kern w:val="0"/>
          <w:sz w:val="28"/>
          <w:szCs w:val="28"/>
          <w:highlight w:val="none"/>
        </w:rPr>
        <w:t>日</w:t>
      </w:r>
    </w:p>
    <w:p>
      <w:pPr>
        <w:rPr>
          <w:color w:val="auto"/>
          <w:highlight w:val="none"/>
        </w:rPr>
      </w:pPr>
    </w:p>
    <w:p>
      <w:pPr>
        <w:pStyle w:val="2"/>
        <w:ind w:left="0" w:leftChars="0" w:firstLine="0" w:firstLineChars="0"/>
        <w:rPr>
          <w:color w:val="auto"/>
          <w:highlight w:val="none"/>
        </w:rPr>
      </w:pPr>
    </w:p>
    <w:p>
      <w:pPr>
        <w:pStyle w:val="2"/>
        <w:ind w:left="0" w:leftChars="0" w:firstLine="0" w:firstLineChars="0"/>
        <w:rPr>
          <w:rFonts w:hint="eastAsia" w:ascii="仿宋_GB2312" w:hAnsi="仿宋_GB2312" w:eastAsia="仿宋_GB2312" w:cs="仿宋_GB2312"/>
          <w:color w:val="auto"/>
          <w:sz w:val="28"/>
          <w:szCs w:val="28"/>
          <w:highlight w:val="none"/>
        </w:rPr>
      </w:pPr>
    </w:p>
    <w:sectPr>
      <w:footerReference r:id="rId3" w:type="default"/>
      <w:pgSz w:w="11906" w:h="16838"/>
      <w:pgMar w:top="1440" w:right="1800" w:bottom="1440" w:left="1800"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11</w:t>
                          </w:r>
                          <w:r>
                            <w:fldChar w:fldCharType="end"/>
                          </w:r>
                          <w:r>
                            <w:t xml:space="preserve"> 页 共 </w:t>
                          </w:r>
                          <w:r>
                            <w:rPr>
                              <w:rFonts w:hint="eastAsia"/>
                              <w:lang w:val="en-US" w:eastAsia="zh-CN"/>
                            </w:rPr>
                            <w:t>27</w:t>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11</w:t>
                    </w:r>
                    <w:r>
                      <w:fldChar w:fldCharType="end"/>
                    </w:r>
                    <w:r>
                      <w:t xml:space="preserve"> 页 共 </w:t>
                    </w:r>
                    <w:r>
                      <w:rPr>
                        <w:rFonts w:hint="eastAsia"/>
                        <w:lang w:val="en-US" w:eastAsia="zh-CN"/>
                      </w:rPr>
                      <w:t>27</w:t>
                    </w:r>
                    <w:r>
                      <w:t xml:space="preserve"> 页</w:t>
                    </w:r>
                  </w:p>
                </w:txbxContent>
              </v:textbox>
            </v:shape>
          </w:pict>
        </mc:Fallback>
      </mc:AlternateContent>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yZWM2MzkwYWRkMmJhMTdhYmIxYzkyNGEzY2ZmODEifQ=="/>
  </w:docVars>
  <w:rsids>
    <w:rsidRoot w:val="00E969D8"/>
    <w:rsid w:val="0000139F"/>
    <w:rsid w:val="000013B0"/>
    <w:rsid w:val="00002756"/>
    <w:rsid w:val="00004412"/>
    <w:rsid w:val="000054BF"/>
    <w:rsid w:val="000056B5"/>
    <w:rsid w:val="00005943"/>
    <w:rsid w:val="00006964"/>
    <w:rsid w:val="00006FF1"/>
    <w:rsid w:val="0001006F"/>
    <w:rsid w:val="0001094C"/>
    <w:rsid w:val="00014990"/>
    <w:rsid w:val="00016153"/>
    <w:rsid w:val="000216F3"/>
    <w:rsid w:val="00022841"/>
    <w:rsid w:val="0002303C"/>
    <w:rsid w:val="00024E5A"/>
    <w:rsid w:val="00030387"/>
    <w:rsid w:val="00030D02"/>
    <w:rsid w:val="000310B3"/>
    <w:rsid w:val="00031DCC"/>
    <w:rsid w:val="000325D1"/>
    <w:rsid w:val="00033D65"/>
    <w:rsid w:val="000341DD"/>
    <w:rsid w:val="00034F52"/>
    <w:rsid w:val="0003588F"/>
    <w:rsid w:val="00037395"/>
    <w:rsid w:val="000377C4"/>
    <w:rsid w:val="00037F65"/>
    <w:rsid w:val="0004262B"/>
    <w:rsid w:val="0004404E"/>
    <w:rsid w:val="00047498"/>
    <w:rsid w:val="000502C9"/>
    <w:rsid w:val="00050307"/>
    <w:rsid w:val="00050B05"/>
    <w:rsid w:val="000510CE"/>
    <w:rsid w:val="00051482"/>
    <w:rsid w:val="000532A9"/>
    <w:rsid w:val="0005432D"/>
    <w:rsid w:val="00054415"/>
    <w:rsid w:val="00054E33"/>
    <w:rsid w:val="000574E7"/>
    <w:rsid w:val="00060FF5"/>
    <w:rsid w:val="00061C7F"/>
    <w:rsid w:val="000625AA"/>
    <w:rsid w:val="00062A90"/>
    <w:rsid w:val="00063428"/>
    <w:rsid w:val="0006380F"/>
    <w:rsid w:val="000639EE"/>
    <w:rsid w:val="0006624E"/>
    <w:rsid w:val="00066B95"/>
    <w:rsid w:val="0006769B"/>
    <w:rsid w:val="00071131"/>
    <w:rsid w:val="000719F5"/>
    <w:rsid w:val="00072F3F"/>
    <w:rsid w:val="00075D57"/>
    <w:rsid w:val="00076B1D"/>
    <w:rsid w:val="00076BBD"/>
    <w:rsid w:val="0008043B"/>
    <w:rsid w:val="0008085F"/>
    <w:rsid w:val="00080A03"/>
    <w:rsid w:val="00080F99"/>
    <w:rsid w:val="000813F9"/>
    <w:rsid w:val="00082026"/>
    <w:rsid w:val="0008349A"/>
    <w:rsid w:val="0008356A"/>
    <w:rsid w:val="0008418C"/>
    <w:rsid w:val="0008491E"/>
    <w:rsid w:val="00085D40"/>
    <w:rsid w:val="000868FD"/>
    <w:rsid w:val="00087A59"/>
    <w:rsid w:val="00090D72"/>
    <w:rsid w:val="000919B4"/>
    <w:rsid w:val="00091C04"/>
    <w:rsid w:val="000925EB"/>
    <w:rsid w:val="0009265D"/>
    <w:rsid w:val="0009332D"/>
    <w:rsid w:val="00094573"/>
    <w:rsid w:val="0009505C"/>
    <w:rsid w:val="00095EDA"/>
    <w:rsid w:val="000969A8"/>
    <w:rsid w:val="000A181D"/>
    <w:rsid w:val="000A19B7"/>
    <w:rsid w:val="000A1EB1"/>
    <w:rsid w:val="000A21C0"/>
    <w:rsid w:val="000A242D"/>
    <w:rsid w:val="000A35C0"/>
    <w:rsid w:val="000A448C"/>
    <w:rsid w:val="000A450C"/>
    <w:rsid w:val="000A5E8C"/>
    <w:rsid w:val="000A5FA2"/>
    <w:rsid w:val="000A60C5"/>
    <w:rsid w:val="000A6C70"/>
    <w:rsid w:val="000A6EA0"/>
    <w:rsid w:val="000A75F3"/>
    <w:rsid w:val="000A77F9"/>
    <w:rsid w:val="000A7A6D"/>
    <w:rsid w:val="000B012C"/>
    <w:rsid w:val="000B0184"/>
    <w:rsid w:val="000B151A"/>
    <w:rsid w:val="000B179F"/>
    <w:rsid w:val="000B3131"/>
    <w:rsid w:val="000B3BF6"/>
    <w:rsid w:val="000B421D"/>
    <w:rsid w:val="000B4E99"/>
    <w:rsid w:val="000B56D3"/>
    <w:rsid w:val="000B59BF"/>
    <w:rsid w:val="000B6C1F"/>
    <w:rsid w:val="000B6F15"/>
    <w:rsid w:val="000B6F41"/>
    <w:rsid w:val="000B7F1B"/>
    <w:rsid w:val="000C076F"/>
    <w:rsid w:val="000C14AB"/>
    <w:rsid w:val="000C14D2"/>
    <w:rsid w:val="000C27D7"/>
    <w:rsid w:val="000C3B55"/>
    <w:rsid w:val="000C3B5D"/>
    <w:rsid w:val="000C426F"/>
    <w:rsid w:val="000C4898"/>
    <w:rsid w:val="000C4CA5"/>
    <w:rsid w:val="000C4EBB"/>
    <w:rsid w:val="000C599B"/>
    <w:rsid w:val="000D2D29"/>
    <w:rsid w:val="000D3E29"/>
    <w:rsid w:val="000D4475"/>
    <w:rsid w:val="000D5869"/>
    <w:rsid w:val="000D5BAF"/>
    <w:rsid w:val="000D60A5"/>
    <w:rsid w:val="000D63F8"/>
    <w:rsid w:val="000D6D6C"/>
    <w:rsid w:val="000D7901"/>
    <w:rsid w:val="000D7FC4"/>
    <w:rsid w:val="000E29DE"/>
    <w:rsid w:val="000E6F52"/>
    <w:rsid w:val="000F16A5"/>
    <w:rsid w:val="000F1DFB"/>
    <w:rsid w:val="000F3826"/>
    <w:rsid w:val="000F62B8"/>
    <w:rsid w:val="000F6B58"/>
    <w:rsid w:val="00100498"/>
    <w:rsid w:val="00100E67"/>
    <w:rsid w:val="00101D75"/>
    <w:rsid w:val="00102A08"/>
    <w:rsid w:val="0010418A"/>
    <w:rsid w:val="0010646C"/>
    <w:rsid w:val="00106DDA"/>
    <w:rsid w:val="00106E6F"/>
    <w:rsid w:val="00107B43"/>
    <w:rsid w:val="00110726"/>
    <w:rsid w:val="001110F9"/>
    <w:rsid w:val="00111862"/>
    <w:rsid w:val="00112011"/>
    <w:rsid w:val="00112ED7"/>
    <w:rsid w:val="001135C5"/>
    <w:rsid w:val="00117ABA"/>
    <w:rsid w:val="00120E01"/>
    <w:rsid w:val="00120E8E"/>
    <w:rsid w:val="00121ED8"/>
    <w:rsid w:val="00121F38"/>
    <w:rsid w:val="0012610A"/>
    <w:rsid w:val="00126501"/>
    <w:rsid w:val="00130CA9"/>
    <w:rsid w:val="00131B1D"/>
    <w:rsid w:val="0013427C"/>
    <w:rsid w:val="001345E6"/>
    <w:rsid w:val="001347D0"/>
    <w:rsid w:val="001349A6"/>
    <w:rsid w:val="001370AF"/>
    <w:rsid w:val="0013780B"/>
    <w:rsid w:val="00140A15"/>
    <w:rsid w:val="00141631"/>
    <w:rsid w:val="00141EB8"/>
    <w:rsid w:val="00143897"/>
    <w:rsid w:val="00144762"/>
    <w:rsid w:val="0014506B"/>
    <w:rsid w:val="001450BC"/>
    <w:rsid w:val="00145301"/>
    <w:rsid w:val="00145690"/>
    <w:rsid w:val="00145FC5"/>
    <w:rsid w:val="00146B9D"/>
    <w:rsid w:val="00150547"/>
    <w:rsid w:val="00154518"/>
    <w:rsid w:val="0015624F"/>
    <w:rsid w:val="00156ED8"/>
    <w:rsid w:val="0016233B"/>
    <w:rsid w:val="001638E8"/>
    <w:rsid w:val="0016491C"/>
    <w:rsid w:val="0016559D"/>
    <w:rsid w:val="00165DC2"/>
    <w:rsid w:val="00166808"/>
    <w:rsid w:val="0017052A"/>
    <w:rsid w:val="001705DD"/>
    <w:rsid w:val="0017182D"/>
    <w:rsid w:val="00172884"/>
    <w:rsid w:val="00172BA0"/>
    <w:rsid w:val="00172BBC"/>
    <w:rsid w:val="00173287"/>
    <w:rsid w:val="00174852"/>
    <w:rsid w:val="001762AD"/>
    <w:rsid w:val="00176409"/>
    <w:rsid w:val="00177A80"/>
    <w:rsid w:val="001800D7"/>
    <w:rsid w:val="00181C00"/>
    <w:rsid w:val="00182059"/>
    <w:rsid w:val="00183911"/>
    <w:rsid w:val="00184C48"/>
    <w:rsid w:val="00184CC5"/>
    <w:rsid w:val="00184CD1"/>
    <w:rsid w:val="00184D40"/>
    <w:rsid w:val="00186901"/>
    <w:rsid w:val="00186A4A"/>
    <w:rsid w:val="00187A06"/>
    <w:rsid w:val="001906A7"/>
    <w:rsid w:val="00191676"/>
    <w:rsid w:val="00192C77"/>
    <w:rsid w:val="00193285"/>
    <w:rsid w:val="00193373"/>
    <w:rsid w:val="001934FF"/>
    <w:rsid w:val="00193A25"/>
    <w:rsid w:val="00194AA6"/>
    <w:rsid w:val="001952FD"/>
    <w:rsid w:val="0019702D"/>
    <w:rsid w:val="0019720C"/>
    <w:rsid w:val="0019787C"/>
    <w:rsid w:val="00197AC2"/>
    <w:rsid w:val="001A03A0"/>
    <w:rsid w:val="001A171F"/>
    <w:rsid w:val="001A1877"/>
    <w:rsid w:val="001A19D5"/>
    <w:rsid w:val="001A1B00"/>
    <w:rsid w:val="001A2476"/>
    <w:rsid w:val="001A31BA"/>
    <w:rsid w:val="001A44E4"/>
    <w:rsid w:val="001A51C0"/>
    <w:rsid w:val="001A5805"/>
    <w:rsid w:val="001A5D6C"/>
    <w:rsid w:val="001B0953"/>
    <w:rsid w:val="001B3A19"/>
    <w:rsid w:val="001B3C3D"/>
    <w:rsid w:val="001B4870"/>
    <w:rsid w:val="001B5367"/>
    <w:rsid w:val="001B610A"/>
    <w:rsid w:val="001B616D"/>
    <w:rsid w:val="001B713D"/>
    <w:rsid w:val="001B72A7"/>
    <w:rsid w:val="001B7971"/>
    <w:rsid w:val="001B7D56"/>
    <w:rsid w:val="001C37D5"/>
    <w:rsid w:val="001C4FB9"/>
    <w:rsid w:val="001C65F0"/>
    <w:rsid w:val="001C7466"/>
    <w:rsid w:val="001D0F74"/>
    <w:rsid w:val="001D13A1"/>
    <w:rsid w:val="001D1833"/>
    <w:rsid w:val="001D2D2C"/>
    <w:rsid w:val="001D3B38"/>
    <w:rsid w:val="001D53D3"/>
    <w:rsid w:val="001D5407"/>
    <w:rsid w:val="001E05EB"/>
    <w:rsid w:val="001E0901"/>
    <w:rsid w:val="001E0D3F"/>
    <w:rsid w:val="001E1E5E"/>
    <w:rsid w:val="001E1FA7"/>
    <w:rsid w:val="001E2E76"/>
    <w:rsid w:val="001E3C6E"/>
    <w:rsid w:val="001E4E1F"/>
    <w:rsid w:val="001E5F92"/>
    <w:rsid w:val="001E632E"/>
    <w:rsid w:val="001E739E"/>
    <w:rsid w:val="001F0034"/>
    <w:rsid w:val="001F0B2F"/>
    <w:rsid w:val="001F1D45"/>
    <w:rsid w:val="001F32E1"/>
    <w:rsid w:val="001F36FA"/>
    <w:rsid w:val="001F3A42"/>
    <w:rsid w:val="001F5177"/>
    <w:rsid w:val="001F61DE"/>
    <w:rsid w:val="001F649E"/>
    <w:rsid w:val="001F67F1"/>
    <w:rsid w:val="001F6E84"/>
    <w:rsid w:val="0020005C"/>
    <w:rsid w:val="00200452"/>
    <w:rsid w:val="002005BE"/>
    <w:rsid w:val="0020154A"/>
    <w:rsid w:val="002015C7"/>
    <w:rsid w:val="0020228A"/>
    <w:rsid w:val="002028E0"/>
    <w:rsid w:val="00202F78"/>
    <w:rsid w:val="002043B2"/>
    <w:rsid w:val="0020509A"/>
    <w:rsid w:val="00206812"/>
    <w:rsid w:val="002104AD"/>
    <w:rsid w:val="00210B74"/>
    <w:rsid w:val="002115B6"/>
    <w:rsid w:val="00213412"/>
    <w:rsid w:val="00213FF4"/>
    <w:rsid w:val="002147A2"/>
    <w:rsid w:val="002148CE"/>
    <w:rsid w:val="00215191"/>
    <w:rsid w:val="00217700"/>
    <w:rsid w:val="0022052C"/>
    <w:rsid w:val="00220F17"/>
    <w:rsid w:val="00222A7F"/>
    <w:rsid w:val="00224681"/>
    <w:rsid w:val="00224FFC"/>
    <w:rsid w:val="00225870"/>
    <w:rsid w:val="00225BDE"/>
    <w:rsid w:val="0022655E"/>
    <w:rsid w:val="0022688A"/>
    <w:rsid w:val="002313E0"/>
    <w:rsid w:val="002324B9"/>
    <w:rsid w:val="0023440E"/>
    <w:rsid w:val="002347DC"/>
    <w:rsid w:val="00240D77"/>
    <w:rsid w:val="00241E8B"/>
    <w:rsid w:val="0024270A"/>
    <w:rsid w:val="00243146"/>
    <w:rsid w:val="0024317A"/>
    <w:rsid w:val="002433CA"/>
    <w:rsid w:val="0024451D"/>
    <w:rsid w:val="002447BF"/>
    <w:rsid w:val="00245113"/>
    <w:rsid w:val="0024544B"/>
    <w:rsid w:val="00245D4F"/>
    <w:rsid w:val="002477B1"/>
    <w:rsid w:val="002477B6"/>
    <w:rsid w:val="002502FC"/>
    <w:rsid w:val="00252A35"/>
    <w:rsid w:val="00252B6C"/>
    <w:rsid w:val="00252D5B"/>
    <w:rsid w:val="00254578"/>
    <w:rsid w:val="00256AF5"/>
    <w:rsid w:val="00256DB0"/>
    <w:rsid w:val="0026013C"/>
    <w:rsid w:val="002605F8"/>
    <w:rsid w:val="00260909"/>
    <w:rsid w:val="00260F78"/>
    <w:rsid w:val="00261958"/>
    <w:rsid w:val="0026214B"/>
    <w:rsid w:val="00262E12"/>
    <w:rsid w:val="0026372C"/>
    <w:rsid w:val="002639A8"/>
    <w:rsid w:val="00263D20"/>
    <w:rsid w:val="0026461F"/>
    <w:rsid w:val="002658CC"/>
    <w:rsid w:val="00266C68"/>
    <w:rsid w:val="0026760C"/>
    <w:rsid w:val="002706D5"/>
    <w:rsid w:val="00271205"/>
    <w:rsid w:val="002718F0"/>
    <w:rsid w:val="002724A9"/>
    <w:rsid w:val="00274810"/>
    <w:rsid w:val="00275814"/>
    <w:rsid w:val="002764D9"/>
    <w:rsid w:val="002767A6"/>
    <w:rsid w:val="00277F13"/>
    <w:rsid w:val="00281943"/>
    <w:rsid w:val="0028214E"/>
    <w:rsid w:val="00282794"/>
    <w:rsid w:val="00282EED"/>
    <w:rsid w:val="00282F6A"/>
    <w:rsid w:val="00283187"/>
    <w:rsid w:val="00283E0F"/>
    <w:rsid w:val="0028485A"/>
    <w:rsid w:val="00284D3D"/>
    <w:rsid w:val="00284DBB"/>
    <w:rsid w:val="002860CF"/>
    <w:rsid w:val="0028734E"/>
    <w:rsid w:val="002879A9"/>
    <w:rsid w:val="00287C6F"/>
    <w:rsid w:val="00290845"/>
    <w:rsid w:val="002912FD"/>
    <w:rsid w:val="00291394"/>
    <w:rsid w:val="002932A4"/>
    <w:rsid w:val="00294A1B"/>
    <w:rsid w:val="00294B8D"/>
    <w:rsid w:val="002954D7"/>
    <w:rsid w:val="00295C84"/>
    <w:rsid w:val="0029692A"/>
    <w:rsid w:val="002A066F"/>
    <w:rsid w:val="002A0A41"/>
    <w:rsid w:val="002A1626"/>
    <w:rsid w:val="002A2683"/>
    <w:rsid w:val="002A3396"/>
    <w:rsid w:val="002A3D00"/>
    <w:rsid w:val="002B0FA9"/>
    <w:rsid w:val="002B18B8"/>
    <w:rsid w:val="002B1E9A"/>
    <w:rsid w:val="002B294E"/>
    <w:rsid w:val="002B4146"/>
    <w:rsid w:val="002B4D81"/>
    <w:rsid w:val="002B4F57"/>
    <w:rsid w:val="002B5B52"/>
    <w:rsid w:val="002B6497"/>
    <w:rsid w:val="002C1AE6"/>
    <w:rsid w:val="002C1DFD"/>
    <w:rsid w:val="002C39CB"/>
    <w:rsid w:val="002C4575"/>
    <w:rsid w:val="002C5150"/>
    <w:rsid w:val="002C560B"/>
    <w:rsid w:val="002C5F10"/>
    <w:rsid w:val="002C7F92"/>
    <w:rsid w:val="002D0944"/>
    <w:rsid w:val="002D126C"/>
    <w:rsid w:val="002D248A"/>
    <w:rsid w:val="002D397F"/>
    <w:rsid w:val="002D42C8"/>
    <w:rsid w:val="002D50D6"/>
    <w:rsid w:val="002D5C86"/>
    <w:rsid w:val="002D6F24"/>
    <w:rsid w:val="002E0B7A"/>
    <w:rsid w:val="002E0FB1"/>
    <w:rsid w:val="002E1829"/>
    <w:rsid w:val="002E216E"/>
    <w:rsid w:val="002E2BFA"/>
    <w:rsid w:val="002E4363"/>
    <w:rsid w:val="002E5E57"/>
    <w:rsid w:val="002E7B45"/>
    <w:rsid w:val="002E7D23"/>
    <w:rsid w:val="002F14F5"/>
    <w:rsid w:val="002F2963"/>
    <w:rsid w:val="002F2C20"/>
    <w:rsid w:val="002F30A1"/>
    <w:rsid w:val="002F3B6B"/>
    <w:rsid w:val="002F3BC7"/>
    <w:rsid w:val="002F41FA"/>
    <w:rsid w:val="002F42DC"/>
    <w:rsid w:val="002F470D"/>
    <w:rsid w:val="002F59FC"/>
    <w:rsid w:val="002F5C9E"/>
    <w:rsid w:val="002F5D58"/>
    <w:rsid w:val="0030051F"/>
    <w:rsid w:val="00300BBA"/>
    <w:rsid w:val="00301F5F"/>
    <w:rsid w:val="00303841"/>
    <w:rsid w:val="00304ABD"/>
    <w:rsid w:val="00304DEC"/>
    <w:rsid w:val="00305DEC"/>
    <w:rsid w:val="003064B2"/>
    <w:rsid w:val="003069B2"/>
    <w:rsid w:val="0031003E"/>
    <w:rsid w:val="00311B85"/>
    <w:rsid w:val="00311CE5"/>
    <w:rsid w:val="0031212D"/>
    <w:rsid w:val="00312A58"/>
    <w:rsid w:val="003137E9"/>
    <w:rsid w:val="00313C10"/>
    <w:rsid w:val="00314932"/>
    <w:rsid w:val="00315168"/>
    <w:rsid w:val="00315177"/>
    <w:rsid w:val="00315695"/>
    <w:rsid w:val="00316890"/>
    <w:rsid w:val="00317244"/>
    <w:rsid w:val="00317289"/>
    <w:rsid w:val="00320469"/>
    <w:rsid w:val="00324F0C"/>
    <w:rsid w:val="00330A78"/>
    <w:rsid w:val="003314C4"/>
    <w:rsid w:val="00333C29"/>
    <w:rsid w:val="00333E6E"/>
    <w:rsid w:val="00334A3F"/>
    <w:rsid w:val="00336843"/>
    <w:rsid w:val="00336A06"/>
    <w:rsid w:val="00337887"/>
    <w:rsid w:val="00341418"/>
    <w:rsid w:val="00341A6A"/>
    <w:rsid w:val="00341DFA"/>
    <w:rsid w:val="003433FA"/>
    <w:rsid w:val="0034459D"/>
    <w:rsid w:val="00345354"/>
    <w:rsid w:val="003454D0"/>
    <w:rsid w:val="003469D9"/>
    <w:rsid w:val="00347D9E"/>
    <w:rsid w:val="00347E61"/>
    <w:rsid w:val="003503E2"/>
    <w:rsid w:val="003512B1"/>
    <w:rsid w:val="00351C64"/>
    <w:rsid w:val="003541EA"/>
    <w:rsid w:val="003544F6"/>
    <w:rsid w:val="00355A36"/>
    <w:rsid w:val="00357368"/>
    <w:rsid w:val="0035793B"/>
    <w:rsid w:val="00357AE4"/>
    <w:rsid w:val="00360180"/>
    <w:rsid w:val="00360CB2"/>
    <w:rsid w:val="00364837"/>
    <w:rsid w:val="0036551F"/>
    <w:rsid w:val="00371DB2"/>
    <w:rsid w:val="00371F2E"/>
    <w:rsid w:val="003721D4"/>
    <w:rsid w:val="00372B65"/>
    <w:rsid w:val="00372EAF"/>
    <w:rsid w:val="00373683"/>
    <w:rsid w:val="0037410F"/>
    <w:rsid w:val="00374458"/>
    <w:rsid w:val="00375162"/>
    <w:rsid w:val="00377772"/>
    <w:rsid w:val="00380925"/>
    <w:rsid w:val="00380F6F"/>
    <w:rsid w:val="00381057"/>
    <w:rsid w:val="00381639"/>
    <w:rsid w:val="00382125"/>
    <w:rsid w:val="00384E9F"/>
    <w:rsid w:val="00385957"/>
    <w:rsid w:val="00385D35"/>
    <w:rsid w:val="00386929"/>
    <w:rsid w:val="00386F24"/>
    <w:rsid w:val="0038757D"/>
    <w:rsid w:val="00387A8C"/>
    <w:rsid w:val="00390086"/>
    <w:rsid w:val="00390A3C"/>
    <w:rsid w:val="0039114D"/>
    <w:rsid w:val="003916D6"/>
    <w:rsid w:val="003919EA"/>
    <w:rsid w:val="00394181"/>
    <w:rsid w:val="00396769"/>
    <w:rsid w:val="003970B9"/>
    <w:rsid w:val="003970ED"/>
    <w:rsid w:val="00397B63"/>
    <w:rsid w:val="00397BCE"/>
    <w:rsid w:val="003A0D23"/>
    <w:rsid w:val="003A1147"/>
    <w:rsid w:val="003A1485"/>
    <w:rsid w:val="003A1AAA"/>
    <w:rsid w:val="003A1E4C"/>
    <w:rsid w:val="003A26B9"/>
    <w:rsid w:val="003A3114"/>
    <w:rsid w:val="003A3C5D"/>
    <w:rsid w:val="003A4763"/>
    <w:rsid w:val="003A58FC"/>
    <w:rsid w:val="003B0EDA"/>
    <w:rsid w:val="003B200A"/>
    <w:rsid w:val="003B2326"/>
    <w:rsid w:val="003B2354"/>
    <w:rsid w:val="003B2442"/>
    <w:rsid w:val="003B304E"/>
    <w:rsid w:val="003B4243"/>
    <w:rsid w:val="003B4BB6"/>
    <w:rsid w:val="003B7223"/>
    <w:rsid w:val="003B74DF"/>
    <w:rsid w:val="003C0CFF"/>
    <w:rsid w:val="003C192C"/>
    <w:rsid w:val="003C25CA"/>
    <w:rsid w:val="003C4101"/>
    <w:rsid w:val="003C429E"/>
    <w:rsid w:val="003C6816"/>
    <w:rsid w:val="003D09A1"/>
    <w:rsid w:val="003D1D12"/>
    <w:rsid w:val="003D24A6"/>
    <w:rsid w:val="003D2C35"/>
    <w:rsid w:val="003D5332"/>
    <w:rsid w:val="003D5F39"/>
    <w:rsid w:val="003D6A88"/>
    <w:rsid w:val="003D75E8"/>
    <w:rsid w:val="003E1588"/>
    <w:rsid w:val="003E1B09"/>
    <w:rsid w:val="003E2087"/>
    <w:rsid w:val="003E28B1"/>
    <w:rsid w:val="003E53E7"/>
    <w:rsid w:val="003E563D"/>
    <w:rsid w:val="003E586A"/>
    <w:rsid w:val="003E7305"/>
    <w:rsid w:val="003E79AE"/>
    <w:rsid w:val="003F0282"/>
    <w:rsid w:val="003F1447"/>
    <w:rsid w:val="003F258B"/>
    <w:rsid w:val="003F3344"/>
    <w:rsid w:val="003F432E"/>
    <w:rsid w:val="003F4546"/>
    <w:rsid w:val="003F456B"/>
    <w:rsid w:val="003F5474"/>
    <w:rsid w:val="003F60DC"/>
    <w:rsid w:val="003F6E74"/>
    <w:rsid w:val="0040072E"/>
    <w:rsid w:val="00401709"/>
    <w:rsid w:val="00403D72"/>
    <w:rsid w:val="00403D7E"/>
    <w:rsid w:val="00404BA6"/>
    <w:rsid w:val="00411A49"/>
    <w:rsid w:val="00411B82"/>
    <w:rsid w:val="00412DAE"/>
    <w:rsid w:val="0041373E"/>
    <w:rsid w:val="0041461A"/>
    <w:rsid w:val="00415955"/>
    <w:rsid w:val="0041611F"/>
    <w:rsid w:val="004177B4"/>
    <w:rsid w:val="004207C0"/>
    <w:rsid w:val="004215B2"/>
    <w:rsid w:val="004219B1"/>
    <w:rsid w:val="00421B2E"/>
    <w:rsid w:val="00422C87"/>
    <w:rsid w:val="00423C65"/>
    <w:rsid w:val="00424ADA"/>
    <w:rsid w:val="004260F8"/>
    <w:rsid w:val="004263AC"/>
    <w:rsid w:val="0042723F"/>
    <w:rsid w:val="00430BAC"/>
    <w:rsid w:val="00430BCB"/>
    <w:rsid w:val="00431308"/>
    <w:rsid w:val="004319CC"/>
    <w:rsid w:val="00432B9E"/>
    <w:rsid w:val="00434023"/>
    <w:rsid w:val="00434D6C"/>
    <w:rsid w:val="00434E57"/>
    <w:rsid w:val="0043544A"/>
    <w:rsid w:val="00436873"/>
    <w:rsid w:val="00437D07"/>
    <w:rsid w:val="00441831"/>
    <w:rsid w:val="00442853"/>
    <w:rsid w:val="00442D24"/>
    <w:rsid w:val="00443A22"/>
    <w:rsid w:val="0044487F"/>
    <w:rsid w:val="00445756"/>
    <w:rsid w:val="00446153"/>
    <w:rsid w:val="004469C1"/>
    <w:rsid w:val="00446F96"/>
    <w:rsid w:val="004473C2"/>
    <w:rsid w:val="004477B8"/>
    <w:rsid w:val="00450A09"/>
    <w:rsid w:val="00451D17"/>
    <w:rsid w:val="00452057"/>
    <w:rsid w:val="004524C7"/>
    <w:rsid w:val="00453181"/>
    <w:rsid w:val="00453B67"/>
    <w:rsid w:val="00454139"/>
    <w:rsid w:val="00457F5A"/>
    <w:rsid w:val="00460998"/>
    <w:rsid w:val="004609C5"/>
    <w:rsid w:val="00461616"/>
    <w:rsid w:val="004619F5"/>
    <w:rsid w:val="00462336"/>
    <w:rsid w:val="004631FB"/>
    <w:rsid w:val="00464D7A"/>
    <w:rsid w:val="00465488"/>
    <w:rsid w:val="004678D2"/>
    <w:rsid w:val="00467D07"/>
    <w:rsid w:val="00470CFA"/>
    <w:rsid w:val="0047499E"/>
    <w:rsid w:val="004768D8"/>
    <w:rsid w:val="00481ABE"/>
    <w:rsid w:val="004827D9"/>
    <w:rsid w:val="004853D3"/>
    <w:rsid w:val="004857E5"/>
    <w:rsid w:val="00485FCF"/>
    <w:rsid w:val="0048648E"/>
    <w:rsid w:val="0048761F"/>
    <w:rsid w:val="004902B6"/>
    <w:rsid w:val="0049088A"/>
    <w:rsid w:val="00492137"/>
    <w:rsid w:val="00492865"/>
    <w:rsid w:val="00492901"/>
    <w:rsid w:val="00493C8D"/>
    <w:rsid w:val="00494885"/>
    <w:rsid w:val="00495F6C"/>
    <w:rsid w:val="004A0FBE"/>
    <w:rsid w:val="004A12DF"/>
    <w:rsid w:val="004A318A"/>
    <w:rsid w:val="004A3B84"/>
    <w:rsid w:val="004A3BEE"/>
    <w:rsid w:val="004A3D5D"/>
    <w:rsid w:val="004A3F31"/>
    <w:rsid w:val="004A45A5"/>
    <w:rsid w:val="004A4622"/>
    <w:rsid w:val="004B044A"/>
    <w:rsid w:val="004B08F5"/>
    <w:rsid w:val="004B1A3F"/>
    <w:rsid w:val="004B7054"/>
    <w:rsid w:val="004B77CB"/>
    <w:rsid w:val="004C06AD"/>
    <w:rsid w:val="004C1B3B"/>
    <w:rsid w:val="004C2809"/>
    <w:rsid w:val="004C2CB3"/>
    <w:rsid w:val="004C508E"/>
    <w:rsid w:val="004C5C45"/>
    <w:rsid w:val="004C6890"/>
    <w:rsid w:val="004C7299"/>
    <w:rsid w:val="004C7ADD"/>
    <w:rsid w:val="004D00BF"/>
    <w:rsid w:val="004D01C3"/>
    <w:rsid w:val="004D19F4"/>
    <w:rsid w:val="004D2B48"/>
    <w:rsid w:val="004D3C79"/>
    <w:rsid w:val="004D47B5"/>
    <w:rsid w:val="004D4F30"/>
    <w:rsid w:val="004D5864"/>
    <w:rsid w:val="004D66A7"/>
    <w:rsid w:val="004D7221"/>
    <w:rsid w:val="004D725A"/>
    <w:rsid w:val="004E44B4"/>
    <w:rsid w:val="004E4E4C"/>
    <w:rsid w:val="004E5C40"/>
    <w:rsid w:val="004E66C5"/>
    <w:rsid w:val="004E7D12"/>
    <w:rsid w:val="004F068C"/>
    <w:rsid w:val="004F2308"/>
    <w:rsid w:val="004F60B2"/>
    <w:rsid w:val="004F7F43"/>
    <w:rsid w:val="00501A3F"/>
    <w:rsid w:val="00501CBB"/>
    <w:rsid w:val="005025F2"/>
    <w:rsid w:val="005057E8"/>
    <w:rsid w:val="00506905"/>
    <w:rsid w:val="005070C9"/>
    <w:rsid w:val="00513D29"/>
    <w:rsid w:val="0051666B"/>
    <w:rsid w:val="00517050"/>
    <w:rsid w:val="00517F7C"/>
    <w:rsid w:val="00520858"/>
    <w:rsid w:val="005219DF"/>
    <w:rsid w:val="00522B9D"/>
    <w:rsid w:val="0052441A"/>
    <w:rsid w:val="0052451C"/>
    <w:rsid w:val="00524B89"/>
    <w:rsid w:val="00525E3E"/>
    <w:rsid w:val="005265E0"/>
    <w:rsid w:val="00530AE6"/>
    <w:rsid w:val="0053271F"/>
    <w:rsid w:val="00533DD2"/>
    <w:rsid w:val="00534654"/>
    <w:rsid w:val="0053672A"/>
    <w:rsid w:val="00541897"/>
    <w:rsid w:val="0054203B"/>
    <w:rsid w:val="005422F5"/>
    <w:rsid w:val="0054381C"/>
    <w:rsid w:val="00544613"/>
    <w:rsid w:val="00544708"/>
    <w:rsid w:val="00544E6E"/>
    <w:rsid w:val="0054506C"/>
    <w:rsid w:val="00545D55"/>
    <w:rsid w:val="00546C4F"/>
    <w:rsid w:val="00547BF6"/>
    <w:rsid w:val="005500E8"/>
    <w:rsid w:val="0055124D"/>
    <w:rsid w:val="0055206E"/>
    <w:rsid w:val="005528E5"/>
    <w:rsid w:val="005535D4"/>
    <w:rsid w:val="00553ADC"/>
    <w:rsid w:val="00554EC1"/>
    <w:rsid w:val="00555159"/>
    <w:rsid w:val="0055575F"/>
    <w:rsid w:val="00555B5D"/>
    <w:rsid w:val="00555F08"/>
    <w:rsid w:val="005567C3"/>
    <w:rsid w:val="00556B29"/>
    <w:rsid w:val="00557705"/>
    <w:rsid w:val="0055791C"/>
    <w:rsid w:val="00560BE3"/>
    <w:rsid w:val="005615BA"/>
    <w:rsid w:val="005617B5"/>
    <w:rsid w:val="0056420F"/>
    <w:rsid w:val="005671EA"/>
    <w:rsid w:val="00567B4A"/>
    <w:rsid w:val="00567FC0"/>
    <w:rsid w:val="00570013"/>
    <w:rsid w:val="00570670"/>
    <w:rsid w:val="00570D15"/>
    <w:rsid w:val="00570F87"/>
    <w:rsid w:val="005713F4"/>
    <w:rsid w:val="0057182F"/>
    <w:rsid w:val="00572702"/>
    <w:rsid w:val="00572D52"/>
    <w:rsid w:val="005739EA"/>
    <w:rsid w:val="00574181"/>
    <w:rsid w:val="00575636"/>
    <w:rsid w:val="00575AB9"/>
    <w:rsid w:val="00575E46"/>
    <w:rsid w:val="005769F2"/>
    <w:rsid w:val="005775C8"/>
    <w:rsid w:val="00577BA2"/>
    <w:rsid w:val="0058242D"/>
    <w:rsid w:val="005826AE"/>
    <w:rsid w:val="005828C9"/>
    <w:rsid w:val="00582993"/>
    <w:rsid w:val="00582A9A"/>
    <w:rsid w:val="00583902"/>
    <w:rsid w:val="00583A1D"/>
    <w:rsid w:val="00583B45"/>
    <w:rsid w:val="00584CD7"/>
    <w:rsid w:val="00586AB4"/>
    <w:rsid w:val="00586DB9"/>
    <w:rsid w:val="00591E9D"/>
    <w:rsid w:val="00592912"/>
    <w:rsid w:val="00594C29"/>
    <w:rsid w:val="005952EF"/>
    <w:rsid w:val="00595DAC"/>
    <w:rsid w:val="005A068B"/>
    <w:rsid w:val="005A07AF"/>
    <w:rsid w:val="005A0B96"/>
    <w:rsid w:val="005A1540"/>
    <w:rsid w:val="005A25B4"/>
    <w:rsid w:val="005A323B"/>
    <w:rsid w:val="005A40BA"/>
    <w:rsid w:val="005A5852"/>
    <w:rsid w:val="005A674D"/>
    <w:rsid w:val="005A682E"/>
    <w:rsid w:val="005A7FB9"/>
    <w:rsid w:val="005B0B46"/>
    <w:rsid w:val="005B179E"/>
    <w:rsid w:val="005B1E8B"/>
    <w:rsid w:val="005B1F46"/>
    <w:rsid w:val="005B3007"/>
    <w:rsid w:val="005B401B"/>
    <w:rsid w:val="005B44FB"/>
    <w:rsid w:val="005B4D30"/>
    <w:rsid w:val="005B5F4B"/>
    <w:rsid w:val="005B6D42"/>
    <w:rsid w:val="005B6E6E"/>
    <w:rsid w:val="005B6F07"/>
    <w:rsid w:val="005B721C"/>
    <w:rsid w:val="005B7EB2"/>
    <w:rsid w:val="005C02D6"/>
    <w:rsid w:val="005C02D7"/>
    <w:rsid w:val="005C27B9"/>
    <w:rsid w:val="005C2CD6"/>
    <w:rsid w:val="005C3E7D"/>
    <w:rsid w:val="005C4838"/>
    <w:rsid w:val="005C4CAE"/>
    <w:rsid w:val="005C65A4"/>
    <w:rsid w:val="005C6825"/>
    <w:rsid w:val="005C6F7B"/>
    <w:rsid w:val="005C783E"/>
    <w:rsid w:val="005C7EE0"/>
    <w:rsid w:val="005D011B"/>
    <w:rsid w:val="005D047F"/>
    <w:rsid w:val="005D1DAF"/>
    <w:rsid w:val="005D2219"/>
    <w:rsid w:val="005D2572"/>
    <w:rsid w:val="005D28A5"/>
    <w:rsid w:val="005D2CF6"/>
    <w:rsid w:val="005D40F4"/>
    <w:rsid w:val="005D52A3"/>
    <w:rsid w:val="005D5B85"/>
    <w:rsid w:val="005E2FDF"/>
    <w:rsid w:val="005E3726"/>
    <w:rsid w:val="005E4CF5"/>
    <w:rsid w:val="005E579E"/>
    <w:rsid w:val="005E5F80"/>
    <w:rsid w:val="005F02FE"/>
    <w:rsid w:val="005F03FA"/>
    <w:rsid w:val="005F0D15"/>
    <w:rsid w:val="005F11E1"/>
    <w:rsid w:val="005F30DC"/>
    <w:rsid w:val="005F54E3"/>
    <w:rsid w:val="005F5FB6"/>
    <w:rsid w:val="005F6065"/>
    <w:rsid w:val="005F62B8"/>
    <w:rsid w:val="005F64B3"/>
    <w:rsid w:val="006007FE"/>
    <w:rsid w:val="00600983"/>
    <w:rsid w:val="00601CBC"/>
    <w:rsid w:val="006027D9"/>
    <w:rsid w:val="00605A98"/>
    <w:rsid w:val="00606149"/>
    <w:rsid w:val="00606454"/>
    <w:rsid w:val="00606BA9"/>
    <w:rsid w:val="00611777"/>
    <w:rsid w:val="00612311"/>
    <w:rsid w:val="00612BF5"/>
    <w:rsid w:val="00613B3E"/>
    <w:rsid w:val="00615F0C"/>
    <w:rsid w:val="006163BD"/>
    <w:rsid w:val="0061759C"/>
    <w:rsid w:val="006176B8"/>
    <w:rsid w:val="006178ED"/>
    <w:rsid w:val="00620BD0"/>
    <w:rsid w:val="006222C0"/>
    <w:rsid w:val="00622E88"/>
    <w:rsid w:val="006257B3"/>
    <w:rsid w:val="00626DA5"/>
    <w:rsid w:val="0063071B"/>
    <w:rsid w:val="00630B8E"/>
    <w:rsid w:val="006315AF"/>
    <w:rsid w:val="00631786"/>
    <w:rsid w:val="0063199B"/>
    <w:rsid w:val="00632057"/>
    <w:rsid w:val="006344BB"/>
    <w:rsid w:val="00635622"/>
    <w:rsid w:val="00635E3B"/>
    <w:rsid w:val="006363DF"/>
    <w:rsid w:val="006426F0"/>
    <w:rsid w:val="0064356B"/>
    <w:rsid w:val="00644A44"/>
    <w:rsid w:val="0064733D"/>
    <w:rsid w:val="00647B36"/>
    <w:rsid w:val="006504CA"/>
    <w:rsid w:val="00651154"/>
    <w:rsid w:val="00651747"/>
    <w:rsid w:val="00651E0B"/>
    <w:rsid w:val="00656671"/>
    <w:rsid w:val="00657645"/>
    <w:rsid w:val="00660DA6"/>
    <w:rsid w:val="00661709"/>
    <w:rsid w:val="00662B79"/>
    <w:rsid w:val="00662EA7"/>
    <w:rsid w:val="0066423B"/>
    <w:rsid w:val="00664640"/>
    <w:rsid w:val="00665848"/>
    <w:rsid w:val="00666508"/>
    <w:rsid w:val="0066660C"/>
    <w:rsid w:val="006702C5"/>
    <w:rsid w:val="006703B1"/>
    <w:rsid w:val="00673081"/>
    <w:rsid w:val="00673782"/>
    <w:rsid w:val="00673D74"/>
    <w:rsid w:val="006740D2"/>
    <w:rsid w:val="00674208"/>
    <w:rsid w:val="0067467C"/>
    <w:rsid w:val="00674ACC"/>
    <w:rsid w:val="00675B23"/>
    <w:rsid w:val="00675C69"/>
    <w:rsid w:val="00675D4B"/>
    <w:rsid w:val="006801FD"/>
    <w:rsid w:val="00680402"/>
    <w:rsid w:val="00680BFC"/>
    <w:rsid w:val="00680CE3"/>
    <w:rsid w:val="00681B98"/>
    <w:rsid w:val="00682759"/>
    <w:rsid w:val="006833A9"/>
    <w:rsid w:val="00686840"/>
    <w:rsid w:val="006904D5"/>
    <w:rsid w:val="00690BC3"/>
    <w:rsid w:val="006914E0"/>
    <w:rsid w:val="006926C6"/>
    <w:rsid w:val="0069336A"/>
    <w:rsid w:val="006934BA"/>
    <w:rsid w:val="00693D54"/>
    <w:rsid w:val="006944B5"/>
    <w:rsid w:val="006948E2"/>
    <w:rsid w:val="00695813"/>
    <w:rsid w:val="0069742B"/>
    <w:rsid w:val="006A1A08"/>
    <w:rsid w:val="006A1E36"/>
    <w:rsid w:val="006A3F4C"/>
    <w:rsid w:val="006A4ACA"/>
    <w:rsid w:val="006A6295"/>
    <w:rsid w:val="006A6472"/>
    <w:rsid w:val="006A667A"/>
    <w:rsid w:val="006A6E83"/>
    <w:rsid w:val="006B2EA3"/>
    <w:rsid w:val="006B3914"/>
    <w:rsid w:val="006B4579"/>
    <w:rsid w:val="006B50EF"/>
    <w:rsid w:val="006B565C"/>
    <w:rsid w:val="006B6014"/>
    <w:rsid w:val="006B69D5"/>
    <w:rsid w:val="006B7015"/>
    <w:rsid w:val="006B7473"/>
    <w:rsid w:val="006C0016"/>
    <w:rsid w:val="006C1642"/>
    <w:rsid w:val="006C1C2B"/>
    <w:rsid w:val="006C1EB0"/>
    <w:rsid w:val="006C230F"/>
    <w:rsid w:val="006C3FD1"/>
    <w:rsid w:val="006C49EA"/>
    <w:rsid w:val="006C4AFC"/>
    <w:rsid w:val="006C6888"/>
    <w:rsid w:val="006D01BB"/>
    <w:rsid w:val="006D1870"/>
    <w:rsid w:val="006D26A2"/>
    <w:rsid w:val="006D282C"/>
    <w:rsid w:val="006D2B7F"/>
    <w:rsid w:val="006D3FA8"/>
    <w:rsid w:val="006D5EE0"/>
    <w:rsid w:val="006E05E4"/>
    <w:rsid w:val="006E3E76"/>
    <w:rsid w:val="006E6A5A"/>
    <w:rsid w:val="006E79B7"/>
    <w:rsid w:val="006F03F2"/>
    <w:rsid w:val="006F072F"/>
    <w:rsid w:val="006F1386"/>
    <w:rsid w:val="006F1F5A"/>
    <w:rsid w:val="006F1FEA"/>
    <w:rsid w:val="006F24BE"/>
    <w:rsid w:val="006F3311"/>
    <w:rsid w:val="006F374C"/>
    <w:rsid w:val="006F3D4C"/>
    <w:rsid w:val="006F41DE"/>
    <w:rsid w:val="006F4D81"/>
    <w:rsid w:val="006F6105"/>
    <w:rsid w:val="006F625E"/>
    <w:rsid w:val="006F64AF"/>
    <w:rsid w:val="006F7612"/>
    <w:rsid w:val="006F7768"/>
    <w:rsid w:val="0070078D"/>
    <w:rsid w:val="00701924"/>
    <w:rsid w:val="00701AA1"/>
    <w:rsid w:val="00702949"/>
    <w:rsid w:val="00702BD6"/>
    <w:rsid w:val="00703EF4"/>
    <w:rsid w:val="00703FF1"/>
    <w:rsid w:val="00705995"/>
    <w:rsid w:val="00707C22"/>
    <w:rsid w:val="00710380"/>
    <w:rsid w:val="00710717"/>
    <w:rsid w:val="00710E6B"/>
    <w:rsid w:val="007130D5"/>
    <w:rsid w:val="0071383D"/>
    <w:rsid w:val="00714F37"/>
    <w:rsid w:val="00717B69"/>
    <w:rsid w:val="007225BC"/>
    <w:rsid w:val="00722AC0"/>
    <w:rsid w:val="00722F25"/>
    <w:rsid w:val="00724A8E"/>
    <w:rsid w:val="007255C5"/>
    <w:rsid w:val="00726569"/>
    <w:rsid w:val="007271B3"/>
    <w:rsid w:val="00727514"/>
    <w:rsid w:val="00727917"/>
    <w:rsid w:val="00730432"/>
    <w:rsid w:val="0073146B"/>
    <w:rsid w:val="00731F83"/>
    <w:rsid w:val="00732F91"/>
    <w:rsid w:val="007338B3"/>
    <w:rsid w:val="007343E5"/>
    <w:rsid w:val="00735AE7"/>
    <w:rsid w:val="00735DC7"/>
    <w:rsid w:val="00736FDF"/>
    <w:rsid w:val="00737FFD"/>
    <w:rsid w:val="0074127F"/>
    <w:rsid w:val="007413F3"/>
    <w:rsid w:val="007416A7"/>
    <w:rsid w:val="007419DF"/>
    <w:rsid w:val="00741BED"/>
    <w:rsid w:val="00742D83"/>
    <w:rsid w:val="00744F8F"/>
    <w:rsid w:val="007453E5"/>
    <w:rsid w:val="00745EFB"/>
    <w:rsid w:val="00746A59"/>
    <w:rsid w:val="00750E4D"/>
    <w:rsid w:val="00751DF8"/>
    <w:rsid w:val="00753976"/>
    <w:rsid w:val="0075480F"/>
    <w:rsid w:val="00755B17"/>
    <w:rsid w:val="00756754"/>
    <w:rsid w:val="00756A06"/>
    <w:rsid w:val="00756A7C"/>
    <w:rsid w:val="00757314"/>
    <w:rsid w:val="0076385E"/>
    <w:rsid w:val="00763E9E"/>
    <w:rsid w:val="00764540"/>
    <w:rsid w:val="0076603D"/>
    <w:rsid w:val="00766629"/>
    <w:rsid w:val="00770A23"/>
    <w:rsid w:val="0077330E"/>
    <w:rsid w:val="00773BF1"/>
    <w:rsid w:val="00773D05"/>
    <w:rsid w:val="007751E3"/>
    <w:rsid w:val="007776A2"/>
    <w:rsid w:val="00777F35"/>
    <w:rsid w:val="00781837"/>
    <w:rsid w:val="00781AA2"/>
    <w:rsid w:val="00781F90"/>
    <w:rsid w:val="00782857"/>
    <w:rsid w:val="0078296E"/>
    <w:rsid w:val="00782CD4"/>
    <w:rsid w:val="00782D36"/>
    <w:rsid w:val="0078319F"/>
    <w:rsid w:val="00784F7B"/>
    <w:rsid w:val="00785A91"/>
    <w:rsid w:val="00786B10"/>
    <w:rsid w:val="007873C9"/>
    <w:rsid w:val="00791C83"/>
    <w:rsid w:val="0079256B"/>
    <w:rsid w:val="0079427F"/>
    <w:rsid w:val="00795C2D"/>
    <w:rsid w:val="00797028"/>
    <w:rsid w:val="0079713C"/>
    <w:rsid w:val="00797C6F"/>
    <w:rsid w:val="007A0A93"/>
    <w:rsid w:val="007A276F"/>
    <w:rsid w:val="007A2D37"/>
    <w:rsid w:val="007A691A"/>
    <w:rsid w:val="007A7442"/>
    <w:rsid w:val="007A7BB9"/>
    <w:rsid w:val="007A7DA9"/>
    <w:rsid w:val="007B0A70"/>
    <w:rsid w:val="007B0D1B"/>
    <w:rsid w:val="007B2BDD"/>
    <w:rsid w:val="007B4F4D"/>
    <w:rsid w:val="007B588A"/>
    <w:rsid w:val="007B659C"/>
    <w:rsid w:val="007B7FAA"/>
    <w:rsid w:val="007C05DA"/>
    <w:rsid w:val="007C0D9D"/>
    <w:rsid w:val="007C0E1A"/>
    <w:rsid w:val="007C2479"/>
    <w:rsid w:val="007C3412"/>
    <w:rsid w:val="007C637B"/>
    <w:rsid w:val="007C7428"/>
    <w:rsid w:val="007D0D0D"/>
    <w:rsid w:val="007D14E2"/>
    <w:rsid w:val="007D1DD1"/>
    <w:rsid w:val="007D1E3A"/>
    <w:rsid w:val="007D2900"/>
    <w:rsid w:val="007D3B2E"/>
    <w:rsid w:val="007D3EFA"/>
    <w:rsid w:val="007D4274"/>
    <w:rsid w:val="007D471D"/>
    <w:rsid w:val="007D61BD"/>
    <w:rsid w:val="007D66CB"/>
    <w:rsid w:val="007E0585"/>
    <w:rsid w:val="007E0CCC"/>
    <w:rsid w:val="007E1BD3"/>
    <w:rsid w:val="007E2F24"/>
    <w:rsid w:val="007E4C11"/>
    <w:rsid w:val="007E4C5F"/>
    <w:rsid w:val="007E52E4"/>
    <w:rsid w:val="007E5612"/>
    <w:rsid w:val="007E6874"/>
    <w:rsid w:val="007E7C09"/>
    <w:rsid w:val="007F0ABD"/>
    <w:rsid w:val="007F13A8"/>
    <w:rsid w:val="007F1F60"/>
    <w:rsid w:val="007F227F"/>
    <w:rsid w:val="007F28DB"/>
    <w:rsid w:val="007F35DF"/>
    <w:rsid w:val="007F3A7E"/>
    <w:rsid w:val="007F3B6E"/>
    <w:rsid w:val="007F4B30"/>
    <w:rsid w:val="007F70CF"/>
    <w:rsid w:val="007F70DB"/>
    <w:rsid w:val="007F7CAF"/>
    <w:rsid w:val="00802EE4"/>
    <w:rsid w:val="00803107"/>
    <w:rsid w:val="00804C85"/>
    <w:rsid w:val="0080533F"/>
    <w:rsid w:val="008109D4"/>
    <w:rsid w:val="00810EA6"/>
    <w:rsid w:val="00811AC6"/>
    <w:rsid w:val="00811C66"/>
    <w:rsid w:val="00813D5B"/>
    <w:rsid w:val="00813F81"/>
    <w:rsid w:val="008141B6"/>
    <w:rsid w:val="00815439"/>
    <w:rsid w:val="00815528"/>
    <w:rsid w:val="008159FC"/>
    <w:rsid w:val="00817EFC"/>
    <w:rsid w:val="0082055A"/>
    <w:rsid w:val="0082059C"/>
    <w:rsid w:val="00821C7D"/>
    <w:rsid w:val="00824808"/>
    <w:rsid w:val="00824DD4"/>
    <w:rsid w:val="00826161"/>
    <w:rsid w:val="00826E96"/>
    <w:rsid w:val="008302E1"/>
    <w:rsid w:val="00832355"/>
    <w:rsid w:val="00833145"/>
    <w:rsid w:val="008348D9"/>
    <w:rsid w:val="008368F2"/>
    <w:rsid w:val="008438DB"/>
    <w:rsid w:val="0084477B"/>
    <w:rsid w:val="00844C9F"/>
    <w:rsid w:val="00844CDA"/>
    <w:rsid w:val="00847454"/>
    <w:rsid w:val="00852245"/>
    <w:rsid w:val="00852E09"/>
    <w:rsid w:val="00853BA4"/>
    <w:rsid w:val="00853FB0"/>
    <w:rsid w:val="00855823"/>
    <w:rsid w:val="00855864"/>
    <w:rsid w:val="008558BC"/>
    <w:rsid w:val="00856185"/>
    <w:rsid w:val="00864A0D"/>
    <w:rsid w:val="00866321"/>
    <w:rsid w:val="008666EC"/>
    <w:rsid w:val="00870CB4"/>
    <w:rsid w:val="00872E41"/>
    <w:rsid w:val="008735F2"/>
    <w:rsid w:val="00875076"/>
    <w:rsid w:val="00875712"/>
    <w:rsid w:val="00875E0D"/>
    <w:rsid w:val="008761A5"/>
    <w:rsid w:val="008764DD"/>
    <w:rsid w:val="00882089"/>
    <w:rsid w:val="00882D32"/>
    <w:rsid w:val="00885183"/>
    <w:rsid w:val="0088529D"/>
    <w:rsid w:val="008859FB"/>
    <w:rsid w:val="008861D4"/>
    <w:rsid w:val="0088669C"/>
    <w:rsid w:val="00887CF8"/>
    <w:rsid w:val="0089095A"/>
    <w:rsid w:val="0089115F"/>
    <w:rsid w:val="00891262"/>
    <w:rsid w:val="008927BC"/>
    <w:rsid w:val="008931AD"/>
    <w:rsid w:val="00895481"/>
    <w:rsid w:val="0089586D"/>
    <w:rsid w:val="00895ABB"/>
    <w:rsid w:val="00896267"/>
    <w:rsid w:val="008A2CC0"/>
    <w:rsid w:val="008A3413"/>
    <w:rsid w:val="008A39C9"/>
    <w:rsid w:val="008A3A3E"/>
    <w:rsid w:val="008A425E"/>
    <w:rsid w:val="008A45AC"/>
    <w:rsid w:val="008A5025"/>
    <w:rsid w:val="008A514B"/>
    <w:rsid w:val="008A588F"/>
    <w:rsid w:val="008A5B20"/>
    <w:rsid w:val="008A77AE"/>
    <w:rsid w:val="008A7B56"/>
    <w:rsid w:val="008B020F"/>
    <w:rsid w:val="008B11C8"/>
    <w:rsid w:val="008B13A0"/>
    <w:rsid w:val="008B1CAC"/>
    <w:rsid w:val="008B2282"/>
    <w:rsid w:val="008B26FC"/>
    <w:rsid w:val="008B380D"/>
    <w:rsid w:val="008B458E"/>
    <w:rsid w:val="008B4EC9"/>
    <w:rsid w:val="008B4F05"/>
    <w:rsid w:val="008C0561"/>
    <w:rsid w:val="008C1C43"/>
    <w:rsid w:val="008C3305"/>
    <w:rsid w:val="008C39BE"/>
    <w:rsid w:val="008C481A"/>
    <w:rsid w:val="008C722C"/>
    <w:rsid w:val="008C7C96"/>
    <w:rsid w:val="008D0F6B"/>
    <w:rsid w:val="008D178D"/>
    <w:rsid w:val="008D1C5F"/>
    <w:rsid w:val="008D3DB8"/>
    <w:rsid w:val="008D3EAB"/>
    <w:rsid w:val="008D42E6"/>
    <w:rsid w:val="008D4584"/>
    <w:rsid w:val="008D55DB"/>
    <w:rsid w:val="008D57EF"/>
    <w:rsid w:val="008D5FF2"/>
    <w:rsid w:val="008D6430"/>
    <w:rsid w:val="008D6CDA"/>
    <w:rsid w:val="008D6EBC"/>
    <w:rsid w:val="008E19B0"/>
    <w:rsid w:val="008E22E3"/>
    <w:rsid w:val="008E305C"/>
    <w:rsid w:val="008E5CED"/>
    <w:rsid w:val="008E5FA3"/>
    <w:rsid w:val="008E7CA2"/>
    <w:rsid w:val="008E7EE6"/>
    <w:rsid w:val="008F0388"/>
    <w:rsid w:val="008F2720"/>
    <w:rsid w:val="008F38F8"/>
    <w:rsid w:val="008F46C3"/>
    <w:rsid w:val="008F4A4C"/>
    <w:rsid w:val="008F7C45"/>
    <w:rsid w:val="009019FA"/>
    <w:rsid w:val="0090218A"/>
    <w:rsid w:val="00905E04"/>
    <w:rsid w:val="009063D4"/>
    <w:rsid w:val="00907A53"/>
    <w:rsid w:val="00907E5E"/>
    <w:rsid w:val="0091039E"/>
    <w:rsid w:val="00910400"/>
    <w:rsid w:val="009119FB"/>
    <w:rsid w:val="0091252E"/>
    <w:rsid w:val="00917B99"/>
    <w:rsid w:val="00920D3D"/>
    <w:rsid w:val="00920DD8"/>
    <w:rsid w:val="00921B2E"/>
    <w:rsid w:val="009221C3"/>
    <w:rsid w:val="0092247C"/>
    <w:rsid w:val="00923BDB"/>
    <w:rsid w:val="00924157"/>
    <w:rsid w:val="00925226"/>
    <w:rsid w:val="0093116C"/>
    <w:rsid w:val="009321A4"/>
    <w:rsid w:val="009336B8"/>
    <w:rsid w:val="00933A39"/>
    <w:rsid w:val="00933A62"/>
    <w:rsid w:val="009341FB"/>
    <w:rsid w:val="00934F34"/>
    <w:rsid w:val="009353AE"/>
    <w:rsid w:val="00935FE5"/>
    <w:rsid w:val="00936316"/>
    <w:rsid w:val="00936BE5"/>
    <w:rsid w:val="00936F4F"/>
    <w:rsid w:val="00937AF0"/>
    <w:rsid w:val="00937DA9"/>
    <w:rsid w:val="00937EEE"/>
    <w:rsid w:val="00941391"/>
    <w:rsid w:val="009415DD"/>
    <w:rsid w:val="009423BF"/>
    <w:rsid w:val="00942C82"/>
    <w:rsid w:val="00943BED"/>
    <w:rsid w:val="00944E09"/>
    <w:rsid w:val="0094524F"/>
    <w:rsid w:val="009453FB"/>
    <w:rsid w:val="009460A9"/>
    <w:rsid w:val="00946544"/>
    <w:rsid w:val="0094797D"/>
    <w:rsid w:val="00950F7A"/>
    <w:rsid w:val="00952D17"/>
    <w:rsid w:val="00955E74"/>
    <w:rsid w:val="00956F79"/>
    <w:rsid w:val="0095707D"/>
    <w:rsid w:val="009572BD"/>
    <w:rsid w:val="009626F9"/>
    <w:rsid w:val="00962DD6"/>
    <w:rsid w:val="009633CA"/>
    <w:rsid w:val="009639BC"/>
    <w:rsid w:val="00963BEF"/>
    <w:rsid w:val="00964334"/>
    <w:rsid w:val="00964FDA"/>
    <w:rsid w:val="00965E39"/>
    <w:rsid w:val="00967222"/>
    <w:rsid w:val="009672BF"/>
    <w:rsid w:val="00967FE7"/>
    <w:rsid w:val="00970B79"/>
    <w:rsid w:val="00970BBC"/>
    <w:rsid w:val="009724EB"/>
    <w:rsid w:val="009743B0"/>
    <w:rsid w:val="009745E4"/>
    <w:rsid w:val="009764E5"/>
    <w:rsid w:val="00977441"/>
    <w:rsid w:val="009810B9"/>
    <w:rsid w:val="00985DFB"/>
    <w:rsid w:val="009867BE"/>
    <w:rsid w:val="00986FE0"/>
    <w:rsid w:val="009874AB"/>
    <w:rsid w:val="009877B6"/>
    <w:rsid w:val="00987E35"/>
    <w:rsid w:val="00987E38"/>
    <w:rsid w:val="009902AA"/>
    <w:rsid w:val="00990F6B"/>
    <w:rsid w:val="009918E0"/>
    <w:rsid w:val="009921BF"/>
    <w:rsid w:val="0099267C"/>
    <w:rsid w:val="009955FD"/>
    <w:rsid w:val="009957D4"/>
    <w:rsid w:val="0099673B"/>
    <w:rsid w:val="00997BE3"/>
    <w:rsid w:val="00997F33"/>
    <w:rsid w:val="009A03AB"/>
    <w:rsid w:val="009A0F26"/>
    <w:rsid w:val="009A1296"/>
    <w:rsid w:val="009A1BAD"/>
    <w:rsid w:val="009A2032"/>
    <w:rsid w:val="009A2639"/>
    <w:rsid w:val="009A456F"/>
    <w:rsid w:val="009A49FA"/>
    <w:rsid w:val="009A6C63"/>
    <w:rsid w:val="009A6ED7"/>
    <w:rsid w:val="009B1353"/>
    <w:rsid w:val="009B378F"/>
    <w:rsid w:val="009B422D"/>
    <w:rsid w:val="009B4676"/>
    <w:rsid w:val="009B48B0"/>
    <w:rsid w:val="009B4F28"/>
    <w:rsid w:val="009B5708"/>
    <w:rsid w:val="009B6FB4"/>
    <w:rsid w:val="009B7228"/>
    <w:rsid w:val="009B7A88"/>
    <w:rsid w:val="009C2692"/>
    <w:rsid w:val="009C4356"/>
    <w:rsid w:val="009C626D"/>
    <w:rsid w:val="009C6B35"/>
    <w:rsid w:val="009C7DB5"/>
    <w:rsid w:val="009C7FE5"/>
    <w:rsid w:val="009D0B2D"/>
    <w:rsid w:val="009D1080"/>
    <w:rsid w:val="009D3012"/>
    <w:rsid w:val="009D4866"/>
    <w:rsid w:val="009D60B7"/>
    <w:rsid w:val="009D7A57"/>
    <w:rsid w:val="009E250B"/>
    <w:rsid w:val="009E295E"/>
    <w:rsid w:val="009E39E4"/>
    <w:rsid w:val="009E3B21"/>
    <w:rsid w:val="009E443F"/>
    <w:rsid w:val="009E53AA"/>
    <w:rsid w:val="009E576B"/>
    <w:rsid w:val="009E59F2"/>
    <w:rsid w:val="009E73E1"/>
    <w:rsid w:val="009E7565"/>
    <w:rsid w:val="009E7B20"/>
    <w:rsid w:val="009E7C6F"/>
    <w:rsid w:val="009F11AA"/>
    <w:rsid w:val="009F21CC"/>
    <w:rsid w:val="009F27E1"/>
    <w:rsid w:val="009F4633"/>
    <w:rsid w:val="009F48A6"/>
    <w:rsid w:val="009F4AAD"/>
    <w:rsid w:val="009F53D1"/>
    <w:rsid w:val="009F5E4D"/>
    <w:rsid w:val="00A004D6"/>
    <w:rsid w:val="00A01A9F"/>
    <w:rsid w:val="00A01B6E"/>
    <w:rsid w:val="00A04A9E"/>
    <w:rsid w:val="00A054EC"/>
    <w:rsid w:val="00A058EB"/>
    <w:rsid w:val="00A05980"/>
    <w:rsid w:val="00A06795"/>
    <w:rsid w:val="00A06955"/>
    <w:rsid w:val="00A06AE1"/>
    <w:rsid w:val="00A10B89"/>
    <w:rsid w:val="00A10BF1"/>
    <w:rsid w:val="00A12036"/>
    <w:rsid w:val="00A14189"/>
    <w:rsid w:val="00A16585"/>
    <w:rsid w:val="00A214D1"/>
    <w:rsid w:val="00A21F12"/>
    <w:rsid w:val="00A230B9"/>
    <w:rsid w:val="00A23FB3"/>
    <w:rsid w:val="00A2410F"/>
    <w:rsid w:val="00A2618B"/>
    <w:rsid w:val="00A27393"/>
    <w:rsid w:val="00A30998"/>
    <w:rsid w:val="00A3201F"/>
    <w:rsid w:val="00A320C6"/>
    <w:rsid w:val="00A32807"/>
    <w:rsid w:val="00A337D8"/>
    <w:rsid w:val="00A3401C"/>
    <w:rsid w:val="00A3553C"/>
    <w:rsid w:val="00A36D0A"/>
    <w:rsid w:val="00A41328"/>
    <w:rsid w:val="00A41B3A"/>
    <w:rsid w:val="00A42444"/>
    <w:rsid w:val="00A43D6C"/>
    <w:rsid w:val="00A44E63"/>
    <w:rsid w:val="00A45900"/>
    <w:rsid w:val="00A46D0D"/>
    <w:rsid w:val="00A47DEB"/>
    <w:rsid w:val="00A50644"/>
    <w:rsid w:val="00A50DD8"/>
    <w:rsid w:val="00A51C34"/>
    <w:rsid w:val="00A523F0"/>
    <w:rsid w:val="00A52A04"/>
    <w:rsid w:val="00A52AD1"/>
    <w:rsid w:val="00A52E16"/>
    <w:rsid w:val="00A53992"/>
    <w:rsid w:val="00A608D4"/>
    <w:rsid w:val="00A619BD"/>
    <w:rsid w:val="00A62E08"/>
    <w:rsid w:val="00A63574"/>
    <w:rsid w:val="00A63B1F"/>
    <w:rsid w:val="00A64E28"/>
    <w:rsid w:val="00A66602"/>
    <w:rsid w:val="00A66E51"/>
    <w:rsid w:val="00A67B2E"/>
    <w:rsid w:val="00A67E29"/>
    <w:rsid w:val="00A67FAA"/>
    <w:rsid w:val="00A70416"/>
    <w:rsid w:val="00A71868"/>
    <w:rsid w:val="00A71C88"/>
    <w:rsid w:val="00A71E9A"/>
    <w:rsid w:val="00A72075"/>
    <w:rsid w:val="00A72D8E"/>
    <w:rsid w:val="00A752E8"/>
    <w:rsid w:val="00A75587"/>
    <w:rsid w:val="00A768F7"/>
    <w:rsid w:val="00A77EB2"/>
    <w:rsid w:val="00A80960"/>
    <w:rsid w:val="00A80E5E"/>
    <w:rsid w:val="00A81A72"/>
    <w:rsid w:val="00A81EAD"/>
    <w:rsid w:val="00A82337"/>
    <w:rsid w:val="00A82B36"/>
    <w:rsid w:val="00A837E1"/>
    <w:rsid w:val="00A841D0"/>
    <w:rsid w:val="00A847F3"/>
    <w:rsid w:val="00A84954"/>
    <w:rsid w:val="00A85450"/>
    <w:rsid w:val="00A85EC1"/>
    <w:rsid w:val="00A86CA9"/>
    <w:rsid w:val="00A87581"/>
    <w:rsid w:val="00A87BB5"/>
    <w:rsid w:val="00A87D45"/>
    <w:rsid w:val="00A90126"/>
    <w:rsid w:val="00A9039A"/>
    <w:rsid w:val="00A908EB"/>
    <w:rsid w:val="00A91409"/>
    <w:rsid w:val="00A921C4"/>
    <w:rsid w:val="00A929B0"/>
    <w:rsid w:val="00A93F9B"/>
    <w:rsid w:val="00A95802"/>
    <w:rsid w:val="00A963EE"/>
    <w:rsid w:val="00A96714"/>
    <w:rsid w:val="00A9700F"/>
    <w:rsid w:val="00A978C6"/>
    <w:rsid w:val="00AA1090"/>
    <w:rsid w:val="00AA1550"/>
    <w:rsid w:val="00AA2112"/>
    <w:rsid w:val="00AA3963"/>
    <w:rsid w:val="00AA5291"/>
    <w:rsid w:val="00AA5CAA"/>
    <w:rsid w:val="00AA5D90"/>
    <w:rsid w:val="00AA6ED8"/>
    <w:rsid w:val="00AA786F"/>
    <w:rsid w:val="00AA7E57"/>
    <w:rsid w:val="00AB2E1F"/>
    <w:rsid w:val="00AB3E09"/>
    <w:rsid w:val="00AB4551"/>
    <w:rsid w:val="00AB66CB"/>
    <w:rsid w:val="00AC02B0"/>
    <w:rsid w:val="00AC161A"/>
    <w:rsid w:val="00AC16DD"/>
    <w:rsid w:val="00AC1DD7"/>
    <w:rsid w:val="00AC3409"/>
    <w:rsid w:val="00AC3E52"/>
    <w:rsid w:val="00AC4DBA"/>
    <w:rsid w:val="00AC547A"/>
    <w:rsid w:val="00AC5A4B"/>
    <w:rsid w:val="00AC7299"/>
    <w:rsid w:val="00AD015A"/>
    <w:rsid w:val="00AD03B5"/>
    <w:rsid w:val="00AD13A4"/>
    <w:rsid w:val="00AD4283"/>
    <w:rsid w:val="00AD4405"/>
    <w:rsid w:val="00AD4859"/>
    <w:rsid w:val="00AD4979"/>
    <w:rsid w:val="00AD79CF"/>
    <w:rsid w:val="00AD7A3C"/>
    <w:rsid w:val="00AD7F3A"/>
    <w:rsid w:val="00AE0FD6"/>
    <w:rsid w:val="00AE2AF1"/>
    <w:rsid w:val="00AE43C7"/>
    <w:rsid w:val="00AE441E"/>
    <w:rsid w:val="00AE54CB"/>
    <w:rsid w:val="00AE5BBC"/>
    <w:rsid w:val="00AE648B"/>
    <w:rsid w:val="00AE6D58"/>
    <w:rsid w:val="00AF1A6C"/>
    <w:rsid w:val="00AF1D35"/>
    <w:rsid w:val="00AF2971"/>
    <w:rsid w:val="00AF2E8A"/>
    <w:rsid w:val="00AF3136"/>
    <w:rsid w:val="00AF321C"/>
    <w:rsid w:val="00AF3FF8"/>
    <w:rsid w:val="00AF4105"/>
    <w:rsid w:val="00AF5669"/>
    <w:rsid w:val="00AF5C95"/>
    <w:rsid w:val="00AF668B"/>
    <w:rsid w:val="00AF6F5F"/>
    <w:rsid w:val="00B005F4"/>
    <w:rsid w:val="00B0078E"/>
    <w:rsid w:val="00B01D71"/>
    <w:rsid w:val="00B01FE2"/>
    <w:rsid w:val="00B021FF"/>
    <w:rsid w:val="00B037B1"/>
    <w:rsid w:val="00B040BA"/>
    <w:rsid w:val="00B05AA9"/>
    <w:rsid w:val="00B06EE4"/>
    <w:rsid w:val="00B07FCC"/>
    <w:rsid w:val="00B100CE"/>
    <w:rsid w:val="00B10C74"/>
    <w:rsid w:val="00B11B10"/>
    <w:rsid w:val="00B11DDD"/>
    <w:rsid w:val="00B12BFD"/>
    <w:rsid w:val="00B16582"/>
    <w:rsid w:val="00B20924"/>
    <w:rsid w:val="00B21917"/>
    <w:rsid w:val="00B21DE8"/>
    <w:rsid w:val="00B22E0C"/>
    <w:rsid w:val="00B237D3"/>
    <w:rsid w:val="00B2393F"/>
    <w:rsid w:val="00B259E0"/>
    <w:rsid w:val="00B3067E"/>
    <w:rsid w:val="00B310B0"/>
    <w:rsid w:val="00B32F94"/>
    <w:rsid w:val="00B338E1"/>
    <w:rsid w:val="00B345FE"/>
    <w:rsid w:val="00B405CA"/>
    <w:rsid w:val="00B40ED1"/>
    <w:rsid w:val="00B42BF2"/>
    <w:rsid w:val="00B42FA5"/>
    <w:rsid w:val="00B43535"/>
    <w:rsid w:val="00B43BA9"/>
    <w:rsid w:val="00B44227"/>
    <w:rsid w:val="00B459D1"/>
    <w:rsid w:val="00B46CAB"/>
    <w:rsid w:val="00B472BF"/>
    <w:rsid w:val="00B47615"/>
    <w:rsid w:val="00B501A1"/>
    <w:rsid w:val="00B520AD"/>
    <w:rsid w:val="00B542EB"/>
    <w:rsid w:val="00B56AD5"/>
    <w:rsid w:val="00B61222"/>
    <w:rsid w:val="00B6128E"/>
    <w:rsid w:val="00B61921"/>
    <w:rsid w:val="00B622AD"/>
    <w:rsid w:val="00B65007"/>
    <w:rsid w:val="00B6596B"/>
    <w:rsid w:val="00B6676E"/>
    <w:rsid w:val="00B7112B"/>
    <w:rsid w:val="00B7177E"/>
    <w:rsid w:val="00B71CCD"/>
    <w:rsid w:val="00B73743"/>
    <w:rsid w:val="00B74010"/>
    <w:rsid w:val="00B74039"/>
    <w:rsid w:val="00B75CD7"/>
    <w:rsid w:val="00B76B7E"/>
    <w:rsid w:val="00B76E07"/>
    <w:rsid w:val="00B77E22"/>
    <w:rsid w:val="00B80069"/>
    <w:rsid w:val="00B80929"/>
    <w:rsid w:val="00B812D8"/>
    <w:rsid w:val="00B817F9"/>
    <w:rsid w:val="00B81FC8"/>
    <w:rsid w:val="00B83449"/>
    <w:rsid w:val="00B840FB"/>
    <w:rsid w:val="00B84132"/>
    <w:rsid w:val="00B84769"/>
    <w:rsid w:val="00B8487E"/>
    <w:rsid w:val="00B85191"/>
    <w:rsid w:val="00B86234"/>
    <w:rsid w:val="00B915AF"/>
    <w:rsid w:val="00B93C83"/>
    <w:rsid w:val="00B9479E"/>
    <w:rsid w:val="00B958CC"/>
    <w:rsid w:val="00B96D45"/>
    <w:rsid w:val="00B96E8B"/>
    <w:rsid w:val="00B97B17"/>
    <w:rsid w:val="00BA1030"/>
    <w:rsid w:val="00BA182F"/>
    <w:rsid w:val="00BA3803"/>
    <w:rsid w:val="00BA5133"/>
    <w:rsid w:val="00BA55EB"/>
    <w:rsid w:val="00BA5902"/>
    <w:rsid w:val="00BA5E4D"/>
    <w:rsid w:val="00BB004A"/>
    <w:rsid w:val="00BB032C"/>
    <w:rsid w:val="00BB0991"/>
    <w:rsid w:val="00BB1435"/>
    <w:rsid w:val="00BB24C6"/>
    <w:rsid w:val="00BB5100"/>
    <w:rsid w:val="00BB71B8"/>
    <w:rsid w:val="00BB7FAE"/>
    <w:rsid w:val="00BC03E3"/>
    <w:rsid w:val="00BC30A5"/>
    <w:rsid w:val="00BC40C9"/>
    <w:rsid w:val="00BC422F"/>
    <w:rsid w:val="00BC57CD"/>
    <w:rsid w:val="00BC5DBE"/>
    <w:rsid w:val="00BC5E9E"/>
    <w:rsid w:val="00BC6530"/>
    <w:rsid w:val="00BC6CCD"/>
    <w:rsid w:val="00BC7235"/>
    <w:rsid w:val="00BC79B9"/>
    <w:rsid w:val="00BC7B7A"/>
    <w:rsid w:val="00BD085E"/>
    <w:rsid w:val="00BD2B7D"/>
    <w:rsid w:val="00BD3097"/>
    <w:rsid w:val="00BD42B9"/>
    <w:rsid w:val="00BD4BC4"/>
    <w:rsid w:val="00BD58FA"/>
    <w:rsid w:val="00BD60F5"/>
    <w:rsid w:val="00BD7E19"/>
    <w:rsid w:val="00BD7E94"/>
    <w:rsid w:val="00BE01C4"/>
    <w:rsid w:val="00BE3844"/>
    <w:rsid w:val="00BE504E"/>
    <w:rsid w:val="00BE7659"/>
    <w:rsid w:val="00BF0720"/>
    <w:rsid w:val="00BF2CBC"/>
    <w:rsid w:val="00BF4DC4"/>
    <w:rsid w:val="00C0039E"/>
    <w:rsid w:val="00C00DAF"/>
    <w:rsid w:val="00C00E9F"/>
    <w:rsid w:val="00C010E4"/>
    <w:rsid w:val="00C01326"/>
    <w:rsid w:val="00C030B9"/>
    <w:rsid w:val="00C04C25"/>
    <w:rsid w:val="00C056A5"/>
    <w:rsid w:val="00C074C4"/>
    <w:rsid w:val="00C07F1E"/>
    <w:rsid w:val="00C07FF7"/>
    <w:rsid w:val="00C13032"/>
    <w:rsid w:val="00C134DC"/>
    <w:rsid w:val="00C14BD9"/>
    <w:rsid w:val="00C16DF8"/>
    <w:rsid w:val="00C175BE"/>
    <w:rsid w:val="00C20985"/>
    <w:rsid w:val="00C20E2C"/>
    <w:rsid w:val="00C2210A"/>
    <w:rsid w:val="00C22730"/>
    <w:rsid w:val="00C23613"/>
    <w:rsid w:val="00C24878"/>
    <w:rsid w:val="00C26264"/>
    <w:rsid w:val="00C26BAA"/>
    <w:rsid w:val="00C26D67"/>
    <w:rsid w:val="00C304E3"/>
    <w:rsid w:val="00C306F4"/>
    <w:rsid w:val="00C31624"/>
    <w:rsid w:val="00C3195B"/>
    <w:rsid w:val="00C3250F"/>
    <w:rsid w:val="00C343A7"/>
    <w:rsid w:val="00C345B2"/>
    <w:rsid w:val="00C35494"/>
    <w:rsid w:val="00C35C89"/>
    <w:rsid w:val="00C35E5A"/>
    <w:rsid w:val="00C372F1"/>
    <w:rsid w:val="00C37506"/>
    <w:rsid w:val="00C3751C"/>
    <w:rsid w:val="00C3779F"/>
    <w:rsid w:val="00C37F68"/>
    <w:rsid w:val="00C404A8"/>
    <w:rsid w:val="00C411C6"/>
    <w:rsid w:val="00C413D0"/>
    <w:rsid w:val="00C42B9F"/>
    <w:rsid w:val="00C42FB8"/>
    <w:rsid w:val="00C43271"/>
    <w:rsid w:val="00C43312"/>
    <w:rsid w:val="00C44CD4"/>
    <w:rsid w:val="00C45561"/>
    <w:rsid w:val="00C458DF"/>
    <w:rsid w:val="00C46AC3"/>
    <w:rsid w:val="00C46E78"/>
    <w:rsid w:val="00C47008"/>
    <w:rsid w:val="00C4763B"/>
    <w:rsid w:val="00C47982"/>
    <w:rsid w:val="00C51557"/>
    <w:rsid w:val="00C519F7"/>
    <w:rsid w:val="00C51AD7"/>
    <w:rsid w:val="00C53468"/>
    <w:rsid w:val="00C53EC6"/>
    <w:rsid w:val="00C54EB5"/>
    <w:rsid w:val="00C55045"/>
    <w:rsid w:val="00C55280"/>
    <w:rsid w:val="00C57243"/>
    <w:rsid w:val="00C57D4A"/>
    <w:rsid w:val="00C57EBB"/>
    <w:rsid w:val="00C60A88"/>
    <w:rsid w:val="00C62D9A"/>
    <w:rsid w:val="00C63ED7"/>
    <w:rsid w:val="00C64323"/>
    <w:rsid w:val="00C647A4"/>
    <w:rsid w:val="00C6544D"/>
    <w:rsid w:val="00C66B89"/>
    <w:rsid w:val="00C67413"/>
    <w:rsid w:val="00C707F3"/>
    <w:rsid w:val="00C712A4"/>
    <w:rsid w:val="00C7287F"/>
    <w:rsid w:val="00C7294C"/>
    <w:rsid w:val="00C74354"/>
    <w:rsid w:val="00C76AFE"/>
    <w:rsid w:val="00C777E4"/>
    <w:rsid w:val="00C80D70"/>
    <w:rsid w:val="00C816ED"/>
    <w:rsid w:val="00C81F2C"/>
    <w:rsid w:val="00C81F8A"/>
    <w:rsid w:val="00C822D3"/>
    <w:rsid w:val="00C82FE9"/>
    <w:rsid w:val="00C830BD"/>
    <w:rsid w:val="00C83F84"/>
    <w:rsid w:val="00C8404B"/>
    <w:rsid w:val="00C84F15"/>
    <w:rsid w:val="00C851B1"/>
    <w:rsid w:val="00C8618C"/>
    <w:rsid w:val="00C866D0"/>
    <w:rsid w:val="00C91724"/>
    <w:rsid w:val="00C92F25"/>
    <w:rsid w:val="00C93578"/>
    <w:rsid w:val="00C94126"/>
    <w:rsid w:val="00C9520B"/>
    <w:rsid w:val="00C962AD"/>
    <w:rsid w:val="00C963BD"/>
    <w:rsid w:val="00C969B2"/>
    <w:rsid w:val="00C97D9C"/>
    <w:rsid w:val="00CA07B1"/>
    <w:rsid w:val="00CA0A5E"/>
    <w:rsid w:val="00CA0B9B"/>
    <w:rsid w:val="00CA0BF8"/>
    <w:rsid w:val="00CA1D48"/>
    <w:rsid w:val="00CA1D50"/>
    <w:rsid w:val="00CA2B7C"/>
    <w:rsid w:val="00CA3597"/>
    <w:rsid w:val="00CA3DBA"/>
    <w:rsid w:val="00CA3E8D"/>
    <w:rsid w:val="00CA60B8"/>
    <w:rsid w:val="00CB43EC"/>
    <w:rsid w:val="00CB52C7"/>
    <w:rsid w:val="00CB6414"/>
    <w:rsid w:val="00CC2B87"/>
    <w:rsid w:val="00CC36F2"/>
    <w:rsid w:val="00CC3AE7"/>
    <w:rsid w:val="00CC3F4C"/>
    <w:rsid w:val="00CC4881"/>
    <w:rsid w:val="00CC57DA"/>
    <w:rsid w:val="00CC6007"/>
    <w:rsid w:val="00CC6718"/>
    <w:rsid w:val="00CC72A1"/>
    <w:rsid w:val="00CD0C40"/>
    <w:rsid w:val="00CD3FFC"/>
    <w:rsid w:val="00CD44AB"/>
    <w:rsid w:val="00CD7300"/>
    <w:rsid w:val="00CD78AF"/>
    <w:rsid w:val="00CE0538"/>
    <w:rsid w:val="00CE1EF7"/>
    <w:rsid w:val="00CE260D"/>
    <w:rsid w:val="00CE461B"/>
    <w:rsid w:val="00CE77A3"/>
    <w:rsid w:val="00CF0E0B"/>
    <w:rsid w:val="00CF133A"/>
    <w:rsid w:val="00CF1FC5"/>
    <w:rsid w:val="00CF3AD1"/>
    <w:rsid w:val="00CF5A1B"/>
    <w:rsid w:val="00D00FC4"/>
    <w:rsid w:val="00D01F8A"/>
    <w:rsid w:val="00D0297E"/>
    <w:rsid w:val="00D0510A"/>
    <w:rsid w:val="00D05848"/>
    <w:rsid w:val="00D05D8A"/>
    <w:rsid w:val="00D06C2B"/>
    <w:rsid w:val="00D1066E"/>
    <w:rsid w:val="00D111C9"/>
    <w:rsid w:val="00D11318"/>
    <w:rsid w:val="00D11FB3"/>
    <w:rsid w:val="00D145A0"/>
    <w:rsid w:val="00D14D25"/>
    <w:rsid w:val="00D1611D"/>
    <w:rsid w:val="00D163A1"/>
    <w:rsid w:val="00D166CD"/>
    <w:rsid w:val="00D16AA9"/>
    <w:rsid w:val="00D16B18"/>
    <w:rsid w:val="00D1716A"/>
    <w:rsid w:val="00D17C62"/>
    <w:rsid w:val="00D2033D"/>
    <w:rsid w:val="00D20C8F"/>
    <w:rsid w:val="00D20EA3"/>
    <w:rsid w:val="00D21448"/>
    <w:rsid w:val="00D21583"/>
    <w:rsid w:val="00D22455"/>
    <w:rsid w:val="00D2391A"/>
    <w:rsid w:val="00D241DE"/>
    <w:rsid w:val="00D2461F"/>
    <w:rsid w:val="00D26A5B"/>
    <w:rsid w:val="00D27B0A"/>
    <w:rsid w:val="00D314DA"/>
    <w:rsid w:val="00D31504"/>
    <w:rsid w:val="00D31CB4"/>
    <w:rsid w:val="00D33377"/>
    <w:rsid w:val="00D336A9"/>
    <w:rsid w:val="00D337F4"/>
    <w:rsid w:val="00D361D9"/>
    <w:rsid w:val="00D36CCF"/>
    <w:rsid w:val="00D37ABF"/>
    <w:rsid w:val="00D40492"/>
    <w:rsid w:val="00D41181"/>
    <w:rsid w:val="00D41FFA"/>
    <w:rsid w:val="00D4206C"/>
    <w:rsid w:val="00D4257D"/>
    <w:rsid w:val="00D42E29"/>
    <w:rsid w:val="00D43225"/>
    <w:rsid w:val="00D43680"/>
    <w:rsid w:val="00D4519E"/>
    <w:rsid w:val="00D45385"/>
    <w:rsid w:val="00D45CB2"/>
    <w:rsid w:val="00D46160"/>
    <w:rsid w:val="00D4635D"/>
    <w:rsid w:val="00D46437"/>
    <w:rsid w:val="00D46629"/>
    <w:rsid w:val="00D46BE7"/>
    <w:rsid w:val="00D476E1"/>
    <w:rsid w:val="00D47D99"/>
    <w:rsid w:val="00D5038F"/>
    <w:rsid w:val="00D50A34"/>
    <w:rsid w:val="00D534EC"/>
    <w:rsid w:val="00D54FC6"/>
    <w:rsid w:val="00D5509D"/>
    <w:rsid w:val="00D55ABB"/>
    <w:rsid w:val="00D56BA6"/>
    <w:rsid w:val="00D57168"/>
    <w:rsid w:val="00D57BD8"/>
    <w:rsid w:val="00D6021E"/>
    <w:rsid w:val="00D60349"/>
    <w:rsid w:val="00D6285C"/>
    <w:rsid w:val="00D6350D"/>
    <w:rsid w:val="00D637EA"/>
    <w:rsid w:val="00D63B67"/>
    <w:rsid w:val="00D64289"/>
    <w:rsid w:val="00D65199"/>
    <w:rsid w:val="00D65F82"/>
    <w:rsid w:val="00D66D6F"/>
    <w:rsid w:val="00D701DD"/>
    <w:rsid w:val="00D705BB"/>
    <w:rsid w:val="00D70C77"/>
    <w:rsid w:val="00D7188B"/>
    <w:rsid w:val="00D72491"/>
    <w:rsid w:val="00D72CDE"/>
    <w:rsid w:val="00D73799"/>
    <w:rsid w:val="00D7389E"/>
    <w:rsid w:val="00D7777C"/>
    <w:rsid w:val="00D77ECE"/>
    <w:rsid w:val="00D809C9"/>
    <w:rsid w:val="00D81A2D"/>
    <w:rsid w:val="00D83AD7"/>
    <w:rsid w:val="00D83ECE"/>
    <w:rsid w:val="00D84F3F"/>
    <w:rsid w:val="00D85772"/>
    <w:rsid w:val="00D85CF4"/>
    <w:rsid w:val="00D85F33"/>
    <w:rsid w:val="00D86AB3"/>
    <w:rsid w:val="00D86C41"/>
    <w:rsid w:val="00D8734B"/>
    <w:rsid w:val="00D8769B"/>
    <w:rsid w:val="00D87B09"/>
    <w:rsid w:val="00D87B0A"/>
    <w:rsid w:val="00D87CC5"/>
    <w:rsid w:val="00D90D66"/>
    <w:rsid w:val="00D91007"/>
    <w:rsid w:val="00D91353"/>
    <w:rsid w:val="00D92672"/>
    <w:rsid w:val="00D939B6"/>
    <w:rsid w:val="00D93A96"/>
    <w:rsid w:val="00D93D20"/>
    <w:rsid w:val="00D93FC4"/>
    <w:rsid w:val="00D952C0"/>
    <w:rsid w:val="00D9677E"/>
    <w:rsid w:val="00D97F1F"/>
    <w:rsid w:val="00DA0128"/>
    <w:rsid w:val="00DA1C3C"/>
    <w:rsid w:val="00DA4235"/>
    <w:rsid w:val="00DA5668"/>
    <w:rsid w:val="00DA5FF9"/>
    <w:rsid w:val="00DA67A9"/>
    <w:rsid w:val="00DA6E84"/>
    <w:rsid w:val="00DA6F59"/>
    <w:rsid w:val="00DB08F9"/>
    <w:rsid w:val="00DB1278"/>
    <w:rsid w:val="00DB1651"/>
    <w:rsid w:val="00DB22B6"/>
    <w:rsid w:val="00DB24A7"/>
    <w:rsid w:val="00DB41BD"/>
    <w:rsid w:val="00DB41CA"/>
    <w:rsid w:val="00DB5D14"/>
    <w:rsid w:val="00DB60DA"/>
    <w:rsid w:val="00DB745F"/>
    <w:rsid w:val="00DC2F9B"/>
    <w:rsid w:val="00DC3A08"/>
    <w:rsid w:val="00DC3BC2"/>
    <w:rsid w:val="00DC591F"/>
    <w:rsid w:val="00DC6072"/>
    <w:rsid w:val="00DC72C6"/>
    <w:rsid w:val="00DC7749"/>
    <w:rsid w:val="00DD01E4"/>
    <w:rsid w:val="00DD0608"/>
    <w:rsid w:val="00DD142F"/>
    <w:rsid w:val="00DD4177"/>
    <w:rsid w:val="00DD5780"/>
    <w:rsid w:val="00DD77ED"/>
    <w:rsid w:val="00DD7F9E"/>
    <w:rsid w:val="00DE1770"/>
    <w:rsid w:val="00DE19D5"/>
    <w:rsid w:val="00DE1D72"/>
    <w:rsid w:val="00DE26B8"/>
    <w:rsid w:val="00DE31AA"/>
    <w:rsid w:val="00DE513D"/>
    <w:rsid w:val="00DE52DB"/>
    <w:rsid w:val="00DE5787"/>
    <w:rsid w:val="00DE5BCD"/>
    <w:rsid w:val="00DE69D2"/>
    <w:rsid w:val="00DE6DF7"/>
    <w:rsid w:val="00DE7A43"/>
    <w:rsid w:val="00DE7F30"/>
    <w:rsid w:val="00DF01AF"/>
    <w:rsid w:val="00DF0768"/>
    <w:rsid w:val="00DF1C84"/>
    <w:rsid w:val="00DF24AB"/>
    <w:rsid w:val="00DF3988"/>
    <w:rsid w:val="00DF3CDE"/>
    <w:rsid w:val="00DF3E9B"/>
    <w:rsid w:val="00DF4DCB"/>
    <w:rsid w:val="00DF5A92"/>
    <w:rsid w:val="00E00530"/>
    <w:rsid w:val="00E01C0D"/>
    <w:rsid w:val="00E05D39"/>
    <w:rsid w:val="00E06639"/>
    <w:rsid w:val="00E07CCE"/>
    <w:rsid w:val="00E07DA7"/>
    <w:rsid w:val="00E100ED"/>
    <w:rsid w:val="00E12BA7"/>
    <w:rsid w:val="00E12DE4"/>
    <w:rsid w:val="00E12F72"/>
    <w:rsid w:val="00E134CA"/>
    <w:rsid w:val="00E13597"/>
    <w:rsid w:val="00E15617"/>
    <w:rsid w:val="00E160A7"/>
    <w:rsid w:val="00E1679B"/>
    <w:rsid w:val="00E172CC"/>
    <w:rsid w:val="00E203D8"/>
    <w:rsid w:val="00E208EB"/>
    <w:rsid w:val="00E20CAF"/>
    <w:rsid w:val="00E21A5D"/>
    <w:rsid w:val="00E2211F"/>
    <w:rsid w:val="00E22C7A"/>
    <w:rsid w:val="00E2360A"/>
    <w:rsid w:val="00E237E9"/>
    <w:rsid w:val="00E23881"/>
    <w:rsid w:val="00E238D1"/>
    <w:rsid w:val="00E250D2"/>
    <w:rsid w:val="00E27C33"/>
    <w:rsid w:val="00E27CE8"/>
    <w:rsid w:val="00E31656"/>
    <w:rsid w:val="00E31708"/>
    <w:rsid w:val="00E319BE"/>
    <w:rsid w:val="00E31C2C"/>
    <w:rsid w:val="00E31DFE"/>
    <w:rsid w:val="00E32A89"/>
    <w:rsid w:val="00E35436"/>
    <w:rsid w:val="00E35AFD"/>
    <w:rsid w:val="00E36256"/>
    <w:rsid w:val="00E36760"/>
    <w:rsid w:val="00E374A2"/>
    <w:rsid w:val="00E379AC"/>
    <w:rsid w:val="00E4029A"/>
    <w:rsid w:val="00E407BC"/>
    <w:rsid w:val="00E41B4A"/>
    <w:rsid w:val="00E420F0"/>
    <w:rsid w:val="00E444DA"/>
    <w:rsid w:val="00E45127"/>
    <w:rsid w:val="00E457DE"/>
    <w:rsid w:val="00E46197"/>
    <w:rsid w:val="00E463D8"/>
    <w:rsid w:val="00E46ECC"/>
    <w:rsid w:val="00E470E0"/>
    <w:rsid w:val="00E47B18"/>
    <w:rsid w:val="00E5012C"/>
    <w:rsid w:val="00E51294"/>
    <w:rsid w:val="00E51A1B"/>
    <w:rsid w:val="00E5229F"/>
    <w:rsid w:val="00E52D37"/>
    <w:rsid w:val="00E53A0A"/>
    <w:rsid w:val="00E53A95"/>
    <w:rsid w:val="00E54AC5"/>
    <w:rsid w:val="00E555B8"/>
    <w:rsid w:val="00E56ADB"/>
    <w:rsid w:val="00E575D2"/>
    <w:rsid w:val="00E60A73"/>
    <w:rsid w:val="00E6261B"/>
    <w:rsid w:val="00E63058"/>
    <w:rsid w:val="00E64144"/>
    <w:rsid w:val="00E64527"/>
    <w:rsid w:val="00E6517F"/>
    <w:rsid w:val="00E65683"/>
    <w:rsid w:val="00E65A21"/>
    <w:rsid w:val="00E72225"/>
    <w:rsid w:val="00E72568"/>
    <w:rsid w:val="00E72A16"/>
    <w:rsid w:val="00E73A2E"/>
    <w:rsid w:val="00E73C51"/>
    <w:rsid w:val="00E7482C"/>
    <w:rsid w:val="00E75C3B"/>
    <w:rsid w:val="00E77670"/>
    <w:rsid w:val="00E776AB"/>
    <w:rsid w:val="00E80575"/>
    <w:rsid w:val="00E818B9"/>
    <w:rsid w:val="00E81B1D"/>
    <w:rsid w:val="00E8223D"/>
    <w:rsid w:val="00E822F3"/>
    <w:rsid w:val="00E8293C"/>
    <w:rsid w:val="00E83CA0"/>
    <w:rsid w:val="00E847CE"/>
    <w:rsid w:val="00E84EFA"/>
    <w:rsid w:val="00E852AB"/>
    <w:rsid w:val="00E86116"/>
    <w:rsid w:val="00E916D2"/>
    <w:rsid w:val="00E9199D"/>
    <w:rsid w:val="00E91FDD"/>
    <w:rsid w:val="00E93EEB"/>
    <w:rsid w:val="00E93F1C"/>
    <w:rsid w:val="00E94084"/>
    <w:rsid w:val="00E94096"/>
    <w:rsid w:val="00E95E67"/>
    <w:rsid w:val="00E969D8"/>
    <w:rsid w:val="00EA0908"/>
    <w:rsid w:val="00EA0B80"/>
    <w:rsid w:val="00EA102D"/>
    <w:rsid w:val="00EA13B8"/>
    <w:rsid w:val="00EA2E63"/>
    <w:rsid w:val="00EA31C3"/>
    <w:rsid w:val="00EA513C"/>
    <w:rsid w:val="00EB062A"/>
    <w:rsid w:val="00EB104E"/>
    <w:rsid w:val="00EB108B"/>
    <w:rsid w:val="00EB1147"/>
    <w:rsid w:val="00EB1D2D"/>
    <w:rsid w:val="00EB20F9"/>
    <w:rsid w:val="00EB23BD"/>
    <w:rsid w:val="00EB45CF"/>
    <w:rsid w:val="00EB71A5"/>
    <w:rsid w:val="00EC1A80"/>
    <w:rsid w:val="00EC1F70"/>
    <w:rsid w:val="00EC2B69"/>
    <w:rsid w:val="00EC2E22"/>
    <w:rsid w:val="00EC2E80"/>
    <w:rsid w:val="00EC3FA0"/>
    <w:rsid w:val="00EC483C"/>
    <w:rsid w:val="00EC4E2F"/>
    <w:rsid w:val="00EC7A0D"/>
    <w:rsid w:val="00EC7D54"/>
    <w:rsid w:val="00ED3CE2"/>
    <w:rsid w:val="00ED48A1"/>
    <w:rsid w:val="00ED48B2"/>
    <w:rsid w:val="00ED62D5"/>
    <w:rsid w:val="00ED7558"/>
    <w:rsid w:val="00ED7A0C"/>
    <w:rsid w:val="00EE02DD"/>
    <w:rsid w:val="00EE2998"/>
    <w:rsid w:val="00EE4ED2"/>
    <w:rsid w:val="00EE58E3"/>
    <w:rsid w:val="00EE6B5F"/>
    <w:rsid w:val="00EE7E70"/>
    <w:rsid w:val="00EF014F"/>
    <w:rsid w:val="00EF09F6"/>
    <w:rsid w:val="00EF1074"/>
    <w:rsid w:val="00EF1BC2"/>
    <w:rsid w:val="00EF5BAE"/>
    <w:rsid w:val="00EF5CD5"/>
    <w:rsid w:val="00EF5DAD"/>
    <w:rsid w:val="00EF7288"/>
    <w:rsid w:val="00EF7F37"/>
    <w:rsid w:val="00EF7F7E"/>
    <w:rsid w:val="00F01989"/>
    <w:rsid w:val="00F02C7A"/>
    <w:rsid w:val="00F056CD"/>
    <w:rsid w:val="00F07203"/>
    <w:rsid w:val="00F10667"/>
    <w:rsid w:val="00F1075F"/>
    <w:rsid w:val="00F10BF5"/>
    <w:rsid w:val="00F1191B"/>
    <w:rsid w:val="00F12A67"/>
    <w:rsid w:val="00F12C2D"/>
    <w:rsid w:val="00F13E49"/>
    <w:rsid w:val="00F14667"/>
    <w:rsid w:val="00F148C6"/>
    <w:rsid w:val="00F14A83"/>
    <w:rsid w:val="00F14BAB"/>
    <w:rsid w:val="00F1517C"/>
    <w:rsid w:val="00F15C00"/>
    <w:rsid w:val="00F15CEA"/>
    <w:rsid w:val="00F17C04"/>
    <w:rsid w:val="00F202FD"/>
    <w:rsid w:val="00F20C25"/>
    <w:rsid w:val="00F21233"/>
    <w:rsid w:val="00F24447"/>
    <w:rsid w:val="00F24D8A"/>
    <w:rsid w:val="00F255F3"/>
    <w:rsid w:val="00F25916"/>
    <w:rsid w:val="00F26EF6"/>
    <w:rsid w:val="00F27733"/>
    <w:rsid w:val="00F3064C"/>
    <w:rsid w:val="00F31AFD"/>
    <w:rsid w:val="00F3227E"/>
    <w:rsid w:val="00F32EFC"/>
    <w:rsid w:val="00F35149"/>
    <w:rsid w:val="00F355ED"/>
    <w:rsid w:val="00F36FF5"/>
    <w:rsid w:val="00F37160"/>
    <w:rsid w:val="00F37B27"/>
    <w:rsid w:val="00F4020C"/>
    <w:rsid w:val="00F405CB"/>
    <w:rsid w:val="00F41E71"/>
    <w:rsid w:val="00F42B1C"/>
    <w:rsid w:val="00F43E64"/>
    <w:rsid w:val="00F44295"/>
    <w:rsid w:val="00F44797"/>
    <w:rsid w:val="00F456B0"/>
    <w:rsid w:val="00F45F3D"/>
    <w:rsid w:val="00F46B17"/>
    <w:rsid w:val="00F46D20"/>
    <w:rsid w:val="00F47B8D"/>
    <w:rsid w:val="00F52F03"/>
    <w:rsid w:val="00F54063"/>
    <w:rsid w:val="00F56181"/>
    <w:rsid w:val="00F57AE6"/>
    <w:rsid w:val="00F57B06"/>
    <w:rsid w:val="00F60BB1"/>
    <w:rsid w:val="00F6231E"/>
    <w:rsid w:val="00F6368D"/>
    <w:rsid w:val="00F64194"/>
    <w:rsid w:val="00F64A40"/>
    <w:rsid w:val="00F65418"/>
    <w:rsid w:val="00F656B6"/>
    <w:rsid w:val="00F668AD"/>
    <w:rsid w:val="00F66FA1"/>
    <w:rsid w:val="00F7219C"/>
    <w:rsid w:val="00F72BB6"/>
    <w:rsid w:val="00F72E8D"/>
    <w:rsid w:val="00F74F72"/>
    <w:rsid w:val="00F77086"/>
    <w:rsid w:val="00F779A3"/>
    <w:rsid w:val="00F80B9B"/>
    <w:rsid w:val="00F80F4E"/>
    <w:rsid w:val="00F816F6"/>
    <w:rsid w:val="00F83D9C"/>
    <w:rsid w:val="00F90E7C"/>
    <w:rsid w:val="00F9147A"/>
    <w:rsid w:val="00F916E8"/>
    <w:rsid w:val="00F91C82"/>
    <w:rsid w:val="00F92D8A"/>
    <w:rsid w:val="00F93BF8"/>
    <w:rsid w:val="00F93C00"/>
    <w:rsid w:val="00F951BD"/>
    <w:rsid w:val="00F97DAC"/>
    <w:rsid w:val="00FA1BF0"/>
    <w:rsid w:val="00FA1CC0"/>
    <w:rsid w:val="00FA359A"/>
    <w:rsid w:val="00FA4922"/>
    <w:rsid w:val="00FA4966"/>
    <w:rsid w:val="00FA5ECD"/>
    <w:rsid w:val="00FB0471"/>
    <w:rsid w:val="00FB3C84"/>
    <w:rsid w:val="00FB453E"/>
    <w:rsid w:val="00FB4F73"/>
    <w:rsid w:val="00FB5983"/>
    <w:rsid w:val="00FB6E4D"/>
    <w:rsid w:val="00FC0271"/>
    <w:rsid w:val="00FC0B3E"/>
    <w:rsid w:val="00FC5A2B"/>
    <w:rsid w:val="00FC5F17"/>
    <w:rsid w:val="00FC6049"/>
    <w:rsid w:val="00FC610F"/>
    <w:rsid w:val="00FC6475"/>
    <w:rsid w:val="00FD1032"/>
    <w:rsid w:val="00FD13BF"/>
    <w:rsid w:val="00FD258E"/>
    <w:rsid w:val="00FD3F5C"/>
    <w:rsid w:val="00FD665D"/>
    <w:rsid w:val="00FE0FC4"/>
    <w:rsid w:val="00FE14FC"/>
    <w:rsid w:val="00FE19E1"/>
    <w:rsid w:val="00FE21EF"/>
    <w:rsid w:val="00FE2389"/>
    <w:rsid w:val="00FE24C0"/>
    <w:rsid w:val="00FE35B1"/>
    <w:rsid w:val="00FE3B9E"/>
    <w:rsid w:val="00FE543C"/>
    <w:rsid w:val="00FE699C"/>
    <w:rsid w:val="00FE7E18"/>
    <w:rsid w:val="00FF2A90"/>
    <w:rsid w:val="00FF32A1"/>
    <w:rsid w:val="00FF4E88"/>
    <w:rsid w:val="00FF6271"/>
    <w:rsid w:val="00FF7CDC"/>
    <w:rsid w:val="01087927"/>
    <w:rsid w:val="011D2710"/>
    <w:rsid w:val="01203FAE"/>
    <w:rsid w:val="01311D17"/>
    <w:rsid w:val="0136732D"/>
    <w:rsid w:val="016320EC"/>
    <w:rsid w:val="01BB7833"/>
    <w:rsid w:val="01C42B8B"/>
    <w:rsid w:val="01E07299"/>
    <w:rsid w:val="01F01BD2"/>
    <w:rsid w:val="01F82835"/>
    <w:rsid w:val="02421D02"/>
    <w:rsid w:val="02432F54"/>
    <w:rsid w:val="025D6B3C"/>
    <w:rsid w:val="025F28B4"/>
    <w:rsid w:val="02777BFD"/>
    <w:rsid w:val="028642E4"/>
    <w:rsid w:val="02B67745"/>
    <w:rsid w:val="02C10E79"/>
    <w:rsid w:val="02C72BF4"/>
    <w:rsid w:val="02CE4AF8"/>
    <w:rsid w:val="02DC5BDA"/>
    <w:rsid w:val="02E1776D"/>
    <w:rsid w:val="03060F81"/>
    <w:rsid w:val="03634626"/>
    <w:rsid w:val="036500A3"/>
    <w:rsid w:val="03710AF1"/>
    <w:rsid w:val="038A3960"/>
    <w:rsid w:val="039C6B90"/>
    <w:rsid w:val="03BE7AAE"/>
    <w:rsid w:val="03CC21CB"/>
    <w:rsid w:val="03E07A24"/>
    <w:rsid w:val="04011608"/>
    <w:rsid w:val="04025BED"/>
    <w:rsid w:val="04166899"/>
    <w:rsid w:val="041C213A"/>
    <w:rsid w:val="042D669A"/>
    <w:rsid w:val="043A7135"/>
    <w:rsid w:val="044004C3"/>
    <w:rsid w:val="04694225"/>
    <w:rsid w:val="04CE3D21"/>
    <w:rsid w:val="05092FAB"/>
    <w:rsid w:val="052A6465"/>
    <w:rsid w:val="05356F0C"/>
    <w:rsid w:val="05442AB5"/>
    <w:rsid w:val="054A2690"/>
    <w:rsid w:val="0559183C"/>
    <w:rsid w:val="0580501B"/>
    <w:rsid w:val="05951960"/>
    <w:rsid w:val="05B80C59"/>
    <w:rsid w:val="05C16FBC"/>
    <w:rsid w:val="05CB4F86"/>
    <w:rsid w:val="05F07596"/>
    <w:rsid w:val="05F11A75"/>
    <w:rsid w:val="062F07EF"/>
    <w:rsid w:val="063302DF"/>
    <w:rsid w:val="066F441B"/>
    <w:rsid w:val="069168D1"/>
    <w:rsid w:val="069E2100"/>
    <w:rsid w:val="06D37278"/>
    <w:rsid w:val="06D72275"/>
    <w:rsid w:val="06EF48A4"/>
    <w:rsid w:val="06F51BB8"/>
    <w:rsid w:val="07172745"/>
    <w:rsid w:val="0719007C"/>
    <w:rsid w:val="079344F1"/>
    <w:rsid w:val="07941252"/>
    <w:rsid w:val="07C02500"/>
    <w:rsid w:val="07CB58AC"/>
    <w:rsid w:val="07D94EB6"/>
    <w:rsid w:val="07DE6DEC"/>
    <w:rsid w:val="07F6608B"/>
    <w:rsid w:val="07FA241B"/>
    <w:rsid w:val="0808754A"/>
    <w:rsid w:val="084E1401"/>
    <w:rsid w:val="08503D4D"/>
    <w:rsid w:val="08534C69"/>
    <w:rsid w:val="087A372F"/>
    <w:rsid w:val="08913F39"/>
    <w:rsid w:val="089D5EE4"/>
    <w:rsid w:val="08B60D54"/>
    <w:rsid w:val="08C16076"/>
    <w:rsid w:val="08D20398"/>
    <w:rsid w:val="08E25FED"/>
    <w:rsid w:val="08E94428"/>
    <w:rsid w:val="09281B8B"/>
    <w:rsid w:val="094D0DF9"/>
    <w:rsid w:val="098576A0"/>
    <w:rsid w:val="09A03EDE"/>
    <w:rsid w:val="09B07E99"/>
    <w:rsid w:val="09CA0F5B"/>
    <w:rsid w:val="09D12C0B"/>
    <w:rsid w:val="09DE0B71"/>
    <w:rsid w:val="09E13554"/>
    <w:rsid w:val="09E244F6"/>
    <w:rsid w:val="09ED69F7"/>
    <w:rsid w:val="09FE6BF5"/>
    <w:rsid w:val="0A171A87"/>
    <w:rsid w:val="0A670558"/>
    <w:rsid w:val="0ACA6D38"/>
    <w:rsid w:val="0AD41965"/>
    <w:rsid w:val="0ADD2F10"/>
    <w:rsid w:val="0ADE2980"/>
    <w:rsid w:val="0AEF64FE"/>
    <w:rsid w:val="0B0C1686"/>
    <w:rsid w:val="0B2B7116"/>
    <w:rsid w:val="0B365055"/>
    <w:rsid w:val="0B4E1717"/>
    <w:rsid w:val="0B6A74AB"/>
    <w:rsid w:val="0B7C6D22"/>
    <w:rsid w:val="0BB41BF8"/>
    <w:rsid w:val="0BCC222C"/>
    <w:rsid w:val="0BDF7533"/>
    <w:rsid w:val="0C1069CD"/>
    <w:rsid w:val="0C1832F6"/>
    <w:rsid w:val="0C34090D"/>
    <w:rsid w:val="0C5114BF"/>
    <w:rsid w:val="0C760F26"/>
    <w:rsid w:val="0C7627E5"/>
    <w:rsid w:val="0C8E2713"/>
    <w:rsid w:val="0CB8271B"/>
    <w:rsid w:val="0CC03DCB"/>
    <w:rsid w:val="0D136775"/>
    <w:rsid w:val="0D700C16"/>
    <w:rsid w:val="0D78528B"/>
    <w:rsid w:val="0D7A5069"/>
    <w:rsid w:val="0D800A3B"/>
    <w:rsid w:val="0D85778E"/>
    <w:rsid w:val="0D8A6A49"/>
    <w:rsid w:val="0D955D1D"/>
    <w:rsid w:val="0DAB5AB5"/>
    <w:rsid w:val="0DC14423"/>
    <w:rsid w:val="0DCD2DC7"/>
    <w:rsid w:val="0DCE2F85"/>
    <w:rsid w:val="0E2A646C"/>
    <w:rsid w:val="0E347EF2"/>
    <w:rsid w:val="0E366597"/>
    <w:rsid w:val="0E59465B"/>
    <w:rsid w:val="0E7617A1"/>
    <w:rsid w:val="0E984C9D"/>
    <w:rsid w:val="0EFF16A6"/>
    <w:rsid w:val="0F0740B7"/>
    <w:rsid w:val="0F3E21E4"/>
    <w:rsid w:val="0F4B08D4"/>
    <w:rsid w:val="0F4F1192"/>
    <w:rsid w:val="0F661726"/>
    <w:rsid w:val="0F766C2C"/>
    <w:rsid w:val="0F881B8A"/>
    <w:rsid w:val="0F9A45BD"/>
    <w:rsid w:val="100D1679"/>
    <w:rsid w:val="101F366E"/>
    <w:rsid w:val="104069D3"/>
    <w:rsid w:val="104F3F68"/>
    <w:rsid w:val="10583283"/>
    <w:rsid w:val="10B97633"/>
    <w:rsid w:val="10BB6702"/>
    <w:rsid w:val="10C37E1B"/>
    <w:rsid w:val="10DB57FB"/>
    <w:rsid w:val="10F66AD9"/>
    <w:rsid w:val="110034B4"/>
    <w:rsid w:val="1122167C"/>
    <w:rsid w:val="1145536B"/>
    <w:rsid w:val="114C04A7"/>
    <w:rsid w:val="115B229C"/>
    <w:rsid w:val="11673533"/>
    <w:rsid w:val="11AB78C4"/>
    <w:rsid w:val="11C91AF8"/>
    <w:rsid w:val="11CC10D7"/>
    <w:rsid w:val="11CE35B2"/>
    <w:rsid w:val="11D005E1"/>
    <w:rsid w:val="11FF3F33"/>
    <w:rsid w:val="11FF551A"/>
    <w:rsid w:val="121B2210"/>
    <w:rsid w:val="12843C71"/>
    <w:rsid w:val="128B54F3"/>
    <w:rsid w:val="12F64B6E"/>
    <w:rsid w:val="12F97AE1"/>
    <w:rsid w:val="12FC53BE"/>
    <w:rsid w:val="130C25E4"/>
    <w:rsid w:val="131B2827"/>
    <w:rsid w:val="131C5AA4"/>
    <w:rsid w:val="135875D7"/>
    <w:rsid w:val="139513AE"/>
    <w:rsid w:val="13963C5C"/>
    <w:rsid w:val="13BD7F30"/>
    <w:rsid w:val="142421BD"/>
    <w:rsid w:val="142B4CEC"/>
    <w:rsid w:val="143B01D9"/>
    <w:rsid w:val="14401BAF"/>
    <w:rsid w:val="14467430"/>
    <w:rsid w:val="1457163D"/>
    <w:rsid w:val="147A17CF"/>
    <w:rsid w:val="148200DB"/>
    <w:rsid w:val="14F7697C"/>
    <w:rsid w:val="14F90946"/>
    <w:rsid w:val="15063063"/>
    <w:rsid w:val="15310E7F"/>
    <w:rsid w:val="15542020"/>
    <w:rsid w:val="1556342F"/>
    <w:rsid w:val="155838BF"/>
    <w:rsid w:val="159E329B"/>
    <w:rsid w:val="15CE62EC"/>
    <w:rsid w:val="15E87B95"/>
    <w:rsid w:val="15FC155E"/>
    <w:rsid w:val="16610551"/>
    <w:rsid w:val="16660790"/>
    <w:rsid w:val="16677E51"/>
    <w:rsid w:val="16781D3E"/>
    <w:rsid w:val="16AB5075"/>
    <w:rsid w:val="16D2144F"/>
    <w:rsid w:val="16EF0963"/>
    <w:rsid w:val="172F064F"/>
    <w:rsid w:val="174B2FAF"/>
    <w:rsid w:val="176522C3"/>
    <w:rsid w:val="176A64B2"/>
    <w:rsid w:val="179B3F36"/>
    <w:rsid w:val="179B55AC"/>
    <w:rsid w:val="179D1A5D"/>
    <w:rsid w:val="17D2291F"/>
    <w:rsid w:val="18502F73"/>
    <w:rsid w:val="1869234F"/>
    <w:rsid w:val="188A46F9"/>
    <w:rsid w:val="18A3241D"/>
    <w:rsid w:val="18BA1866"/>
    <w:rsid w:val="18CF1EF8"/>
    <w:rsid w:val="18E90CD1"/>
    <w:rsid w:val="193E7835"/>
    <w:rsid w:val="19487B81"/>
    <w:rsid w:val="194903EC"/>
    <w:rsid w:val="1963561A"/>
    <w:rsid w:val="19A03A86"/>
    <w:rsid w:val="19AA66B3"/>
    <w:rsid w:val="1A0013CC"/>
    <w:rsid w:val="1A072EFE"/>
    <w:rsid w:val="1A1021A2"/>
    <w:rsid w:val="1A241B32"/>
    <w:rsid w:val="1A257B51"/>
    <w:rsid w:val="1A3A54A0"/>
    <w:rsid w:val="1A5310FD"/>
    <w:rsid w:val="1AC551AC"/>
    <w:rsid w:val="1ACD2659"/>
    <w:rsid w:val="1AF57E02"/>
    <w:rsid w:val="1AF916A0"/>
    <w:rsid w:val="1B053365"/>
    <w:rsid w:val="1B122A89"/>
    <w:rsid w:val="1B1330C8"/>
    <w:rsid w:val="1B25679F"/>
    <w:rsid w:val="1B423A9A"/>
    <w:rsid w:val="1B6C176F"/>
    <w:rsid w:val="1B8F5B60"/>
    <w:rsid w:val="1BEB00C4"/>
    <w:rsid w:val="1BF34341"/>
    <w:rsid w:val="1C224C26"/>
    <w:rsid w:val="1C455281"/>
    <w:rsid w:val="1C7134B8"/>
    <w:rsid w:val="1C714D5A"/>
    <w:rsid w:val="1C817B9F"/>
    <w:rsid w:val="1C8534CA"/>
    <w:rsid w:val="1C8C6544"/>
    <w:rsid w:val="1CBF2475"/>
    <w:rsid w:val="1CF662AD"/>
    <w:rsid w:val="1D06698D"/>
    <w:rsid w:val="1D121464"/>
    <w:rsid w:val="1D886D0B"/>
    <w:rsid w:val="1DBE097F"/>
    <w:rsid w:val="1DD55681"/>
    <w:rsid w:val="1E1F1B0C"/>
    <w:rsid w:val="1E4732DA"/>
    <w:rsid w:val="1E474F2A"/>
    <w:rsid w:val="1E4802D9"/>
    <w:rsid w:val="1E5078E5"/>
    <w:rsid w:val="1E7F010E"/>
    <w:rsid w:val="1EB1403F"/>
    <w:rsid w:val="1EC57AEB"/>
    <w:rsid w:val="1ED97BC0"/>
    <w:rsid w:val="1F5841B7"/>
    <w:rsid w:val="1F5F584A"/>
    <w:rsid w:val="1F6F0182"/>
    <w:rsid w:val="1F7C1A71"/>
    <w:rsid w:val="1F8A4FBC"/>
    <w:rsid w:val="1F927BF8"/>
    <w:rsid w:val="1FC80DAE"/>
    <w:rsid w:val="1FD46A2B"/>
    <w:rsid w:val="1FF22B62"/>
    <w:rsid w:val="1FF70178"/>
    <w:rsid w:val="20172C42"/>
    <w:rsid w:val="204D1E18"/>
    <w:rsid w:val="205E01F7"/>
    <w:rsid w:val="206A4539"/>
    <w:rsid w:val="20983709"/>
    <w:rsid w:val="20C4005A"/>
    <w:rsid w:val="20F9606E"/>
    <w:rsid w:val="21596C30"/>
    <w:rsid w:val="217C0935"/>
    <w:rsid w:val="217C6B87"/>
    <w:rsid w:val="21846B04"/>
    <w:rsid w:val="21B53E47"/>
    <w:rsid w:val="21C84491"/>
    <w:rsid w:val="21EE3839"/>
    <w:rsid w:val="21FB4B66"/>
    <w:rsid w:val="22360B43"/>
    <w:rsid w:val="223E6B65"/>
    <w:rsid w:val="22431452"/>
    <w:rsid w:val="224F237C"/>
    <w:rsid w:val="22561186"/>
    <w:rsid w:val="22654970"/>
    <w:rsid w:val="226E2973"/>
    <w:rsid w:val="227930C6"/>
    <w:rsid w:val="22877591"/>
    <w:rsid w:val="22A052A7"/>
    <w:rsid w:val="22BF62D1"/>
    <w:rsid w:val="23543ED1"/>
    <w:rsid w:val="235A0180"/>
    <w:rsid w:val="237D4B16"/>
    <w:rsid w:val="23B4085A"/>
    <w:rsid w:val="23BD1D58"/>
    <w:rsid w:val="23E17175"/>
    <w:rsid w:val="240E4511"/>
    <w:rsid w:val="241466EB"/>
    <w:rsid w:val="24386924"/>
    <w:rsid w:val="245C2C9F"/>
    <w:rsid w:val="2471055B"/>
    <w:rsid w:val="24817454"/>
    <w:rsid w:val="248E3354"/>
    <w:rsid w:val="24A24B56"/>
    <w:rsid w:val="24CF3471"/>
    <w:rsid w:val="24E30CCB"/>
    <w:rsid w:val="24F54706"/>
    <w:rsid w:val="24FA6740"/>
    <w:rsid w:val="256B13EC"/>
    <w:rsid w:val="256C0CC0"/>
    <w:rsid w:val="257B0F03"/>
    <w:rsid w:val="25847E3E"/>
    <w:rsid w:val="25A8355B"/>
    <w:rsid w:val="25D04652"/>
    <w:rsid w:val="25E61B48"/>
    <w:rsid w:val="25F72096"/>
    <w:rsid w:val="26415CA9"/>
    <w:rsid w:val="264834DB"/>
    <w:rsid w:val="2651356A"/>
    <w:rsid w:val="26541E80"/>
    <w:rsid w:val="267C5B25"/>
    <w:rsid w:val="26A12BEB"/>
    <w:rsid w:val="26CD6EB7"/>
    <w:rsid w:val="26FC6074"/>
    <w:rsid w:val="27650552"/>
    <w:rsid w:val="277D71B5"/>
    <w:rsid w:val="278E348C"/>
    <w:rsid w:val="27B34984"/>
    <w:rsid w:val="27B60BA8"/>
    <w:rsid w:val="27C74FFE"/>
    <w:rsid w:val="27CE7A10"/>
    <w:rsid w:val="27D001C3"/>
    <w:rsid w:val="27F63731"/>
    <w:rsid w:val="281C61CB"/>
    <w:rsid w:val="28287EC2"/>
    <w:rsid w:val="283E05A4"/>
    <w:rsid w:val="284564FC"/>
    <w:rsid w:val="28616AD6"/>
    <w:rsid w:val="286755DA"/>
    <w:rsid w:val="289A4067"/>
    <w:rsid w:val="28C87FDC"/>
    <w:rsid w:val="28D21782"/>
    <w:rsid w:val="295E4DC4"/>
    <w:rsid w:val="29656152"/>
    <w:rsid w:val="29A7676B"/>
    <w:rsid w:val="29C8638D"/>
    <w:rsid w:val="29DB4666"/>
    <w:rsid w:val="29FE0929"/>
    <w:rsid w:val="2A0346D9"/>
    <w:rsid w:val="2A187669"/>
    <w:rsid w:val="2A3049B2"/>
    <w:rsid w:val="2A571F3F"/>
    <w:rsid w:val="2A5A37DD"/>
    <w:rsid w:val="2A6060DE"/>
    <w:rsid w:val="2A6C52BE"/>
    <w:rsid w:val="2A866380"/>
    <w:rsid w:val="2A9D36CA"/>
    <w:rsid w:val="2ADC2AD5"/>
    <w:rsid w:val="2B471FB3"/>
    <w:rsid w:val="2B481888"/>
    <w:rsid w:val="2B4D3342"/>
    <w:rsid w:val="2B606BD1"/>
    <w:rsid w:val="2B73247C"/>
    <w:rsid w:val="2B794137"/>
    <w:rsid w:val="2B7F3677"/>
    <w:rsid w:val="2BDE731D"/>
    <w:rsid w:val="2BF65788"/>
    <w:rsid w:val="2C11436F"/>
    <w:rsid w:val="2C114F37"/>
    <w:rsid w:val="2C1866E8"/>
    <w:rsid w:val="2C2E4F21"/>
    <w:rsid w:val="2C583417"/>
    <w:rsid w:val="2C767028"/>
    <w:rsid w:val="2CA82E69"/>
    <w:rsid w:val="2CBE44F7"/>
    <w:rsid w:val="2CCB6C14"/>
    <w:rsid w:val="2CF577ED"/>
    <w:rsid w:val="2CF972DD"/>
    <w:rsid w:val="2D0619FA"/>
    <w:rsid w:val="2D106179"/>
    <w:rsid w:val="2D661DF9"/>
    <w:rsid w:val="2D7921CC"/>
    <w:rsid w:val="2DAF5BEE"/>
    <w:rsid w:val="2DB66F7C"/>
    <w:rsid w:val="2DDD275B"/>
    <w:rsid w:val="2E0C2400"/>
    <w:rsid w:val="2E1F0FC6"/>
    <w:rsid w:val="2E385B19"/>
    <w:rsid w:val="2E7F1A64"/>
    <w:rsid w:val="2E8250B1"/>
    <w:rsid w:val="2EAF6E60"/>
    <w:rsid w:val="2ECD0A22"/>
    <w:rsid w:val="2ED37354"/>
    <w:rsid w:val="2EEB0EA8"/>
    <w:rsid w:val="2F2F348A"/>
    <w:rsid w:val="2F491C35"/>
    <w:rsid w:val="2F4A2072"/>
    <w:rsid w:val="2F544C9F"/>
    <w:rsid w:val="2F6A44C2"/>
    <w:rsid w:val="2F866C50"/>
    <w:rsid w:val="2FB27C17"/>
    <w:rsid w:val="2FD33A7D"/>
    <w:rsid w:val="2FD44032"/>
    <w:rsid w:val="2FE36023"/>
    <w:rsid w:val="2FEA4DD7"/>
    <w:rsid w:val="2FEC4ED7"/>
    <w:rsid w:val="301E705B"/>
    <w:rsid w:val="303D3985"/>
    <w:rsid w:val="30607673"/>
    <w:rsid w:val="307849BD"/>
    <w:rsid w:val="308C2DD7"/>
    <w:rsid w:val="30A13F14"/>
    <w:rsid w:val="30C95219"/>
    <w:rsid w:val="30D95072"/>
    <w:rsid w:val="31097D0B"/>
    <w:rsid w:val="310E7643"/>
    <w:rsid w:val="31102E48"/>
    <w:rsid w:val="312F7772"/>
    <w:rsid w:val="313A6116"/>
    <w:rsid w:val="31442AF1"/>
    <w:rsid w:val="31A01A14"/>
    <w:rsid w:val="31A812D2"/>
    <w:rsid w:val="31AB2B70"/>
    <w:rsid w:val="31DF39D8"/>
    <w:rsid w:val="31F05461"/>
    <w:rsid w:val="31F84007"/>
    <w:rsid w:val="31FA708B"/>
    <w:rsid w:val="320A6B83"/>
    <w:rsid w:val="3251196A"/>
    <w:rsid w:val="325968C3"/>
    <w:rsid w:val="326367AE"/>
    <w:rsid w:val="32684FC7"/>
    <w:rsid w:val="327E36FD"/>
    <w:rsid w:val="329F1816"/>
    <w:rsid w:val="32DF0B60"/>
    <w:rsid w:val="32ED11E0"/>
    <w:rsid w:val="33242BDA"/>
    <w:rsid w:val="33504641"/>
    <w:rsid w:val="3355325F"/>
    <w:rsid w:val="33936375"/>
    <w:rsid w:val="33A53D1B"/>
    <w:rsid w:val="33B40ED5"/>
    <w:rsid w:val="33B71CA0"/>
    <w:rsid w:val="33BC72B7"/>
    <w:rsid w:val="33D75E9F"/>
    <w:rsid w:val="340447E5"/>
    <w:rsid w:val="34261C37"/>
    <w:rsid w:val="342C2EB9"/>
    <w:rsid w:val="345E40D5"/>
    <w:rsid w:val="34A261A8"/>
    <w:rsid w:val="354237EC"/>
    <w:rsid w:val="354C78F6"/>
    <w:rsid w:val="357C0AAC"/>
    <w:rsid w:val="3596600B"/>
    <w:rsid w:val="35C16E06"/>
    <w:rsid w:val="36307EA1"/>
    <w:rsid w:val="36317AE8"/>
    <w:rsid w:val="365245F7"/>
    <w:rsid w:val="366343C1"/>
    <w:rsid w:val="367F00A1"/>
    <w:rsid w:val="36A2093B"/>
    <w:rsid w:val="36EF0B47"/>
    <w:rsid w:val="37180CA8"/>
    <w:rsid w:val="373D0549"/>
    <w:rsid w:val="3768195A"/>
    <w:rsid w:val="37705D69"/>
    <w:rsid w:val="37B330F2"/>
    <w:rsid w:val="37D51D27"/>
    <w:rsid w:val="37D921E5"/>
    <w:rsid w:val="37E307C2"/>
    <w:rsid w:val="38037262"/>
    <w:rsid w:val="38116597"/>
    <w:rsid w:val="38404012"/>
    <w:rsid w:val="385A6B6D"/>
    <w:rsid w:val="385B6BC0"/>
    <w:rsid w:val="385C6972"/>
    <w:rsid w:val="38A10829"/>
    <w:rsid w:val="38A50319"/>
    <w:rsid w:val="38AA53DE"/>
    <w:rsid w:val="38BB5D8F"/>
    <w:rsid w:val="38D34E86"/>
    <w:rsid w:val="38F82706"/>
    <w:rsid w:val="3914724D"/>
    <w:rsid w:val="391D01EC"/>
    <w:rsid w:val="3928256C"/>
    <w:rsid w:val="392D52D8"/>
    <w:rsid w:val="393022D9"/>
    <w:rsid w:val="3934169D"/>
    <w:rsid w:val="396D4762"/>
    <w:rsid w:val="39761CB6"/>
    <w:rsid w:val="39C015C7"/>
    <w:rsid w:val="39CD7A82"/>
    <w:rsid w:val="39F350B4"/>
    <w:rsid w:val="3A2D5123"/>
    <w:rsid w:val="3A622985"/>
    <w:rsid w:val="3A8B3875"/>
    <w:rsid w:val="3AE3337B"/>
    <w:rsid w:val="3AF344D3"/>
    <w:rsid w:val="3B3E1343"/>
    <w:rsid w:val="3B41547B"/>
    <w:rsid w:val="3B471D76"/>
    <w:rsid w:val="3B693880"/>
    <w:rsid w:val="3B7901A8"/>
    <w:rsid w:val="3B824942"/>
    <w:rsid w:val="3B8B2D9A"/>
    <w:rsid w:val="3BB6698B"/>
    <w:rsid w:val="3BE473AB"/>
    <w:rsid w:val="3BF21AC7"/>
    <w:rsid w:val="3BFA097C"/>
    <w:rsid w:val="3C312387"/>
    <w:rsid w:val="3C460065"/>
    <w:rsid w:val="3C6E7640"/>
    <w:rsid w:val="3C7249B6"/>
    <w:rsid w:val="3C9F056F"/>
    <w:rsid w:val="3CB274A9"/>
    <w:rsid w:val="3CDB69FF"/>
    <w:rsid w:val="3CE570AA"/>
    <w:rsid w:val="3D1C0945"/>
    <w:rsid w:val="3D1D45E5"/>
    <w:rsid w:val="3D2058FF"/>
    <w:rsid w:val="3D216C93"/>
    <w:rsid w:val="3D251A29"/>
    <w:rsid w:val="3D4C7255"/>
    <w:rsid w:val="3D6A54CD"/>
    <w:rsid w:val="3D7529B0"/>
    <w:rsid w:val="3D786DEA"/>
    <w:rsid w:val="3DBD078F"/>
    <w:rsid w:val="3DD30D42"/>
    <w:rsid w:val="3DF8713D"/>
    <w:rsid w:val="3E2B12C1"/>
    <w:rsid w:val="3EB2553E"/>
    <w:rsid w:val="3EC47A46"/>
    <w:rsid w:val="3F6A5850"/>
    <w:rsid w:val="3F6C393F"/>
    <w:rsid w:val="3FB157F6"/>
    <w:rsid w:val="3FFE7433"/>
    <w:rsid w:val="400565EF"/>
    <w:rsid w:val="40183ABC"/>
    <w:rsid w:val="40196BA7"/>
    <w:rsid w:val="40354679"/>
    <w:rsid w:val="40477680"/>
    <w:rsid w:val="40970E8F"/>
    <w:rsid w:val="409F1AF2"/>
    <w:rsid w:val="40C370AD"/>
    <w:rsid w:val="40C559FD"/>
    <w:rsid w:val="40D30A52"/>
    <w:rsid w:val="41083B3B"/>
    <w:rsid w:val="41586871"/>
    <w:rsid w:val="415D09FF"/>
    <w:rsid w:val="41773289"/>
    <w:rsid w:val="4186018E"/>
    <w:rsid w:val="4186401E"/>
    <w:rsid w:val="41D44BAC"/>
    <w:rsid w:val="41DE664A"/>
    <w:rsid w:val="425D3A13"/>
    <w:rsid w:val="427279A6"/>
    <w:rsid w:val="42987C62"/>
    <w:rsid w:val="42CD0B98"/>
    <w:rsid w:val="42E43122"/>
    <w:rsid w:val="43104F29"/>
    <w:rsid w:val="431C468F"/>
    <w:rsid w:val="435C016E"/>
    <w:rsid w:val="437B05F4"/>
    <w:rsid w:val="43893998"/>
    <w:rsid w:val="43A46641"/>
    <w:rsid w:val="43B34232"/>
    <w:rsid w:val="44175AA9"/>
    <w:rsid w:val="443E508E"/>
    <w:rsid w:val="4447497A"/>
    <w:rsid w:val="448412FE"/>
    <w:rsid w:val="44A376EA"/>
    <w:rsid w:val="44B14387"/>
    <w:rsid w:val="44C94084"/>
    <w:rsid w:val="44CC4B26"/>
    <w:rsid w:val="44D66663"/>
    <w:rsid w:val="44DA759D"/>
    <w:rsid w:val="44F06DC0"/>
    <w:rsid w:val="45196317"/>
    <w:rsid w:val="452F78E8"/>
    <w:rsid w:val="454315E6"/>
    <w:rsid w:val="45464C32"/>
    <w:rsid w:val="455A06DD"/>
    <w:rsid w:val="455E3D2A"/>
    <w:rsid w:val="458B721E"/>
    <w:rsid w:val="45BD7463"/>
    <w:rsid w:val="46024FFD"/>
    <w:rsid w:val="46172739"/>
    <w:rsid w:val="462A1E44"/>
    <w:rsid w:val="465771BB"/>
    <w:rsid w:val="47282841"/>
    <w:rsid w:val="472B360C"/>
    <w:rsid w:val="473531B0"/>
    <w:rsid w:val="47382DED"/>
    <w:rsid w:val="473F667B"/>
    <w:rsid w:val="475B5C75"/>
    <w:rsid w:val="476442E9"/>
    <w:rsid w:val="47794FE9"/>
    <w:rsid w:val="477B55B4"/>
    <w:rsid w:val="47C54534"/>
    <w:rsid w:val="47C562E2"/>
    <w:rsid w:val="47CA56A6"/>
    <w:rsid w:val="47CB7671"/>
    <w:rsid w:val="47D44777"/>
    <w:rsid w:val="47DD4EB6"/>
    <w:rsid w:val="48244C25"/>
    <w:rsid w:val="48382D9B"/>
    <w:rsid w:val="486B6719"/>
    <w:rsid w:val="487E7C9A"/>
    <w:rsid w:val="48855A71"/>
    <w:rsid w:val="48895562"/>
    <w:rsid w:val="489857A5"/>
    <w:rsid w:val="48AE7101"/>
    <w:rsid w:val="48C540C0"/>
    <w:rsid w:val="48E94232"/>
    <w:rsid w:val="49033566"/>
    <w:rsid w:val="490A667F"/>
    <w:rsid w:val="492A5691"/>
    <w:rsid w:val="492B03C7"/>
    <w:rsid w:val="49A60395"/>
    <w:rsid w:val="49AD1845"/>
    <w:rsid w:val="49F76403"/>
    <w:rsid w:val="4A0808CC"/>
    <w:rsid w:val="4A5D02A3"/>
    <w:rsid w:val="4A9E3F3D"/>
    <w:rsid w:val="4AA76173"/>
    <w:rsid w:val="4ADD1B95"/>
    <w:rsid w:val="4B1B26BD"/>
    <w:rsid w:val="4B4C5AE3"/>
    <w:rsid w:val="4B4F6082"/>
    <w:rsid w:val="4B647BC0"/>
    <w:rsid w:val="4B8455E6"/>
    <w:rsid w:val="4B880564"/>
    <w:rsid w:val="4B895879"/>
    <w:rsid w:val="4BC93EC7"/>
    <w:rsid w:val="4BFB3452"/>
    <w:rsid w:val="4C3163FE"/>
    <w:rsid w:val="4C99508D"/>
    <w:rsid w:val="4C9E35A6"/>
    <w:rsid w:val="4CCD1C49"/>
    <w:rsid w:val="4CEA746D"/>
    <w:rsid w:val="4CF35113"/>
    <w:rsid w:val="4CF85B38"/>
    <w:rsid w:val="4D323BF8"/>
    <w:rsid w:val="4D422183"/>
    <w:rsid w:val="4D531123"/>
    <w:rsid w:val="4D5A6B3E"/>
    <w:rsid w:val="4D9745D4"/>
    <w:rsid w:val="4DA44BEC"/>
    <w:rsid w:val="4DBF37D4"/>
    <w:rsid w:val="4DD74FC1"/>
    <w:rsid w:val="4DE4148C"/>
    <w:rsid w:val="4DE82D2A"/>
    <w:rsid w:val="4DE92E1E"/>
    <w:rsid w:val="4DF25957"/>
    <w:rsid w:val="4E0138F3"/>
    <w:rsid w:val="4E141264"/>
    <w:rsid w:val="4E296E9F"/>
    <w:rsid w:val="4E447BD5"/>
    <w:rsid w:val="4E6276BA"/>
    <w:rsid w:val="4E712D20"/>
    <w:rsid w:val="4E8503C4"/>
    <w:rsid w:val="4EB72AB4"/>
    <w:rsid w:val="4EB84CF7"/>
    <w:rsid w:val="4EBF0AC0"/>
    <w:rsid w:val="4EE71234"/>
    <w:rsid w:val="4F111E0D"/>
    <w:rsid w:val="4F732AC8"/>
    <w:rsid w:val="4FA2515B"/>
    <w:rsid w:val="4FB06006"/>
    <w:rsid w:val="4FCE41A2"/>
    <w:rsid w:val="4FD16CA0"/>
    <w:rsid w:val="4FEB4D54"/>
    <w:rsid w:val="4FF05EC6"/>
    <w:rsid w:val="500E5380"/>
    <w:rsid w:val="50285660"/>
    <w:rsid w:val="50321F15"/>
    <w:rsid w:val="50597F0F"/>
    <w:rsid w:val="509871FE"/>
    <w:rsid w:val="50C03AEB"/>
    <w:rsid w:val="50C25C82"/>
    <w:rsid w:val="50CF01D2"/>
    <w:rsid w:val="50E85CD7"/>
    <w:rsid w:val="50ED2406"/>
    <w:rsid w:val="510559A1"/>
    <w:rsid w:val="510C31D4"/>
    <w:rsid w:val="51273B6A"/>
    <w:rsid w:val="5129101D"/>
    <w:rsid w:val="516F5F6F"/>
    <w:rsid w:val="519A258E"/>
    <w:rsid w:val="52100222"/>
    <w:rsid w:val="52487A94"/>
    <w:rsid w:val="527A416D"/>
    <w:rsid w:val="52A5743C"/>
    <w:rsid w:val="52A64F62"/>
    <w:rsid w:val="52A93684"/>
    <w:rsid w:val="52CC2975"/>
    <w:rsid w:val="52E5065C"/>
    <w:rsid w:val="531479F2"/>
    <w:rsid w:val="53283188"/>
    <w:rsid w:val="53395D3D"/>
    <w:rsid w:val="53650979"/>
    <w:rsid w:val="536C5339"/>
    <w:rsid w:val="5389507F"/>
    <w:rsid w:val="538D0FC6"/>
    <w:rsid w:val="53D8739D"/>
    <w:rsid w:val="53FA4A38"/>
    <w:rsid w:val="540463E4"/>
    <w:rsid w:val="5411465D"/>
    <w:rsid w:val="54183C3E"/>
    <w:rsid w:val="544D45DB"/>
    <w:rsid w:val="54945667"/>
    <w:rsid w:val="54A35BFD"/>
    <w:rsid w:val="54E83610"/>
    <w:rsid w:val="550550A4"/>
    <w:rsid w:val="55063817"/>
    <w:rsid w:val="551E5284"/>
    <w:rsid w:val="55432F3C"/>
    <w:rsid w:val="55447A97"/>
    <w:rsid w:val="559317CE"/>
    <w:rsid w:val="55D613B7"/>
    <w:rsid w:val="55E42029"/>
    <w:rsid w:val="55F92779"/>
    <w:rsid w:val="56194536"/>
    <w:rsid w:val="56292132"/>
    <w:rsid w:val="56310FE7"/>
    <w:rsid w:val="56501A68"/>
    <w:rsid w:val="56701B0F"/>
    <w:rsid w:val="56B55E3A"/>
    <w:rsid w:val="56D57BC4"/>
    <w:rsid w:val="56E147BB"/>
    <w:rsid w:val="56EF6ED8"/>
    <w:rsid w:val="57144B90"/>
    <w:rsid w:val="573E39BB"/>
    <w:rsid w:val="5784358B"/>
    <w:rsid w:val="578515EA"/>
    <w:rsid w:val="57A75A04"/>
    <w:rsid w:val="57C17D9D"/>
    <w:rsid w:val="57D41FD7"/>
    <w:rsid w:val="57DE7DF4"/>
    <w:rsid w:val="58006EC2"/>
    <w:rsid w:val="583354EA"/>
    <w:rsid w:val="58367D5C"/>
    <w:rsid w:val="584C035A"/>
    <w:rsid w:val="58512883"/>
    <w:rsid w:val="58737543"/>
    <w:rsid w:val="587C13DB"/>
    <w:rsid w:val="58905D11"/>
    <w:rsid w:val="58B8154B"/>
    <w:rsid w:val="58CF531E"/>
    <w:rsid w:val="58E40592"/>
    <w:rsid w:val="591C2B26"/>
    <w:rsid w:val="592B61C1"/>
    <w:rsid w:val="593E0BA8"/>
    <w:rsid w:val="594F3C5E"/>
    <w:rsid w:val="59554FEC"/>
    <w:rsid w:val="59594FC9"/>
    <w:rsid w:val="595F19AF"/>
    <w:rsid w:val="597C40AB"/>
    <w:rsid w:val="599718C6"/>
    <w:rsid w:val="59D96341"/>
    <w:rsid w:val="5A166E71"/>
    <w:rsid w:val="5A1804F3"/>
    <w:rsid w:val="5A8868CB"/>
    <w:rsid w:val="5A97639B"/>
    <w:rsid w:val="5AA24261"/>
    <w:rsid w:val="5AA61F1F"/>
    <w:rsid w:val="5AAE43FA"/>
    <w:rsid w:val="5AB02F1D"/>
    <w:rsid w:val="5AE623A0"/>
    <w:rsid w:val="5B006537"/>
    <w:rsid w:val="5B0B0058"/>
    <w:rsid w:val="5B165FC1"/>
    <w:rsid w:val="5B327BC5"/>
    <w:rsid w:val="5B4D0671"/>
    <w:rsid w:val="5B7200D7"/>
    <w:rsid w:val="5B862AB5"/>
    <w:rsid w:val="5B96072A"/>
    <w:rsid w:val="5BB701E0"/>
    <w:rsid w:val="5BE32D83"/>
    <w:rsid w:val="5BEA4111"/>
    <w:rsid w:val="5BEF797A"/>
    <w:rsid w:val="5BF544A4"/>
    <w:rsid w:val="5BFF2825"/>
    <w:rsid w:val="5C270767"/>
    <w:rsid w:val="5C936557"/>
    <w:rsid w:val="5CAA6074"/>
    <w:rsid w:val="5CC70745"/>
    <w:rsid w:val="5CD36400"/>
    <w:rsid w:val="5CD728E8"/>
    <w:rsid w:val="5D334D25"/>
    <w:rsid w:val="5DBD47D0"/>
    <w:rsid w:val="5DC0337C"/>
    <w:rsid w:val="5DD837BB"/>
    <w:rsid w:val="5E046DCA"/>
    <w:rsid w:val="5E4E4E2C"/>
    <w:rsid w:val="5E6A778C"/>
    <w:rsid w:val="5E806B9E"/>
    <w:rsid w:val="5E8675AE"/>
    <w:rsid w:val="5E8F3E20"/>
    <w:rsid w:val="5EE74938"/>
    <w:rsid w:val="5EF14839"/>
    <w:rsid w:val="5F021772"/>
    <w:rsid w:val="5F0D0843"/>
    <w:rsid w:val="5F2D2C93"/>
    <w:rsid w:val="5F385194"/>
    <w:rsid w:val="5F38708D"/>
    <w:rsid w:val="5F7C7776"/>
    <w:rsid w:val="5F8A1E93"/>
    <w:rsid w:val="5F9F23BB"/>
    <w:rsid w:val="5FAD385F"/>
    <w:rsid w:val="5FCA6E80"/>
    <w:rsid w:val="5FE86BBA"/>
    <w:rsid w:val="5FEB43F8"/>
    <w:rsid w:val="60017C7C"/>
    <w:rsid w:val="6005151A"/>
    <w:rsid w:val="6005776C"/>
    <w:rsid w:val="60116A40"/>
    <w:rsid w:val="60541ED0"/>
    <w:rsid w:val="6081021A"/>
    <w:rsid w:val="608B78A4"/>
    <w:rsid w:val="60D333C6"/>
    <w:rsid w:val="60DA29A7"/>
    <w:rsid w:val="60E167FE"/>
    <w:rsid w:val="610E2650"/>
    <w:rsid w:val="611559D1"/>
    <w:rsid w:val="612E2CF2"/>
    <w:rsid w:val="613C71BD"/>
    <w:rsid w:val="614726F4"/>
    <w:rsid w:val="61772B1C"/>
    <w:rsid w:val="61802F89"/>
    <w:rsid w:val="61A055CD"/>
    <w:rsid w:val="61B34FA6"/>
    <w:rsid w:val="61DC1266"/>
    <w:rsid w:val="61F77588"/>
    <w:rsid w:val="61FF22E9"/>
    <w:rsid w:val="62136A76"/>
    <w:rsid w:val="626A5FAC"/>
    <w:rsid w:val="62AC2121"/>
    <w:rsid w:val="62B17737"/>
    <w:rsid w:val="62B92EB0"/>
    <w:rsid w:val="62F939DB"/>
    <w:rsid w:val="630C71D2"/>
    <w:rsid w:val="6311467A"/>
    <w:rsid w:val="63147CC6"/>
    <w:rsid w:val="631B72A6"/>
    <w:rsid w:val="63501125"/>
    <w:rsid w:val="636724EC"/>
    <w:rsid w:val="639B4DE1"/>
    <w:rsid w:val="63AF5CF4"/>
    <w:rsid w:val="63C4349A"/>
    <w:rsid w:val="63C44569"/>
    <w:rsid w:val="64340C50"/>
    <w:rsid w:val="645C1924"/>
    <w:rsid w:val="648D5F82"/>
    <w:rsid w:val="64A5365B"/>
    <w:rsid w:val="64A62BA0"/>
    <w:rsid w:val="64E822D1"/>
    <w:rsid w:val="652E5E23"/>
    <w:rsid w:val="653A1C66"/>
    <w:rsid w:val="656A1E1F"/>
    <w:rsid w:val="657E56A8"/>
    <w:rsid w:val="65811046"/>
    <w:rsid w:val="65B71DA7"/>
    <w:rsid w:val="65BB36B2"/>
    <w:rsid w:val="65D15EBA"/>
    <w:rsid w:val="65E566CA"/>
    <w:rsid w:val="660758C0"/>
    <w:rsid w:val="66430FEE"/>
    <w:rsid w:val="66A14653"/>
    <w:rsid w:val="66A95D51"/>
    <w:rsid w:val="66F56DDA"/>
    <w:rsid w:val="66F75549"/>
    <w:rsid w:val="674548F2"/>
    <w:rsid w:val="674C7A2E"/>
    <w:rsid w:val="675074C6"/>
    <w:rsid w:val="67746F85"/>
    <w:rsid w:val="67D569F9"/>
    <w:rsid w:val="67DB7004"/>
    <w:rsid w:val="67E22141"/>
    <w:rsid w:val="67E45A28"/>
    <w:rsid w:val="682664D1"/>
    <w:rsid w:val="682E2327"/>
    <w:rsid w:val="68330BEE"/>
    <w:rsid w:val="68437C84"/>
    <w:rsid w:val="68487C9B"/>
    <w:rsid w:val="6897117D"/>
    <w:rsid w:val="68AA575F"/>
    <w:rsid w:val="68AB4C28"/>
    <w:rsid w:val="68D423D1"/>
    <w:rsid w:val="69670B4F"/>
    <w:rsid w:val="69845BA5"/>
    <w:rsid w:val="699A01AD"/>
    <w:rsid w:val="69E14DA6"/>
    <w:rsid w:val="69E623BC"/>
    <w:rsid w:val="6A1C4030"/>
    <w:rsid w:val="6A1F120D"/>
    <w:rsid w:val="6A38073E"/>
    <w:rsid w:val="6A6E4354"/>
    <w:rsid w:val="6A6E7179"/>
    <w:rsid w:val="6A7F25E4"/>
    <w:rsid w:val="6AB47889"/>
    <w:rsid w:val="6B014FD4"/>
    <w:rsid w:val="6B2018FE"/>
    <w:rsid w:val="6B256F14"/>
    <w:rsid w:val="6B7E02AB"/>
    <w:rsid w:val="6B8C260F"/>
    <w:rsid w:val="6B9B122F"/>
    <w:rsid w:val="6BA8544F"/>
    <w:rsid w:val="6BF36D52"/>
    <w:rsid w:val="6C0A3B2A"/>
    <w:rsid w:val="6C283D9C"/>
    <w:rsid w:val="6C30791F"/>
    <w:rsid w:val="6CDC4C78"/>
    <w:rsid w:val="6D5E670D"/>
    <w:rsid w:val="6D6E165D"/>
    <w:rsid w:val="6D721930"/>
    <w:rsid w:val="6DA5433C"/>
    <w:rsid w:val="6DE94229"/>
    <w:rsid w:val="6DF3205E"/>
    <w:rsid w:val="6E080427"/>
    <w:rsid w:val="6E193E99"/>
    <w:rsid w:val="6E201C15"/>
    <w:rsid w:val="6E5B33AA"/>
    <w:rsid w:val="6E8B1784"/>
    <w:rsid w:val="6EF035FA"/>
    <w:rsid w:val="6F0E0AD3"/>
    <w:rsid w:val="6F3B4F58"/>
    <w:rsid w:val="6F6D52C6"/>
    <w:rsid w:val="6F7F4719"/>
    <w:rsid w:val="6F88014D"/>
    <w:rsid w:val="6FA56875"/>
    <w:rsid w:val="6FA7439C"/>
    <w:rsid w:val="6FB6638D"/>
    <w:rsid w:val="6FC7059A"/>
    <w:rsid w:val="70133EFF"/>
    <w:rsid w:val="70186935"/>
    <w:rsid w:val="702E51A7"/>
    <w:rsid w:val="703106AC"/>
    <w:rsid w:val="703F5287"/>
    <w:rsid w:val="7055204A"/>
    <w:rsid w:val="7089114E"/>
    <w:rsid w:val="708E10B8"/>
    <w:rsid w:val="70C525FF"/>
    <w:rsid w:val="70F62AE7"/>
    <w:rsid w:val="71125588"/>
    <w:rsid w:val="71194F85"/>
    <w:rsid w:val="71900E5F"/>
    <w:rsid w:val="719941B8"/>
    <w:rsid w:val="71D11EF6"/>
    <w:rsid w:val="71D376CA"/>
    <w:rsid w:val="71F748B4"/>
    <w:rsid w:val="72051BEB"/>
    <w:rsid w:val="722466EB"/>
    <w:rsid w:val="72255A4C"/>
    <w:rsid w:val="72404633"/>
    <w:rsid w:val="726532E8"/>
    <w:rsid w:val="72895FDA"/>
    <w:rsid w:val="728B36FD"/>
    <w:rsid w:val="72907369"/>
    <w:rsid w:val="72BC2977"/>
    <w:rsid w:val="72DF7F5B"/>
    <w:rsid w:val="7322589D"/>
    <w:rsid w:val="733028FA"/>
    <w:rsid w:val="73414800"/>
    <w:rsid w:val="73644D3D"/>
    <w:rsid w:val="738E2770"/>
    <w:rsid w:val="73907D6F"/>
    <w:rsid w:val="73F853A0"/>
    <w:rsid w:val="740F07DF"/>
    <w:rsid w:val="741B0EB4"/>
    <w:rsid w:val="742A26B8"/>
    <w:rsid w:val="744D3038"/>
    <w:rsid w:val="747D56CB"/>
    <w:rsid w:val="74842EFD"/>
    <w:rsid w:val="74C25370"/>
    <w:rsid w:val="74E41BEE"/>
    <w:rsid w:val="74F9687D"/>
    <w:rsid w:val="752913AF"/>
    <w:rsid w:val="752C6049"/>
    <w:rsid w:val="75A1188D"/>
    <w:rsid w:val="75A803CA"/>
    <w:rsid w:val="75AA70AC"/>
    <w:rsid w:val="75CC2278"/>
    <w:rsid w:val="75F358C5"/>
    <w:rsid w:val="75FC1626"/>
    <w:rsid w:val="76033145"/>
    <w:rsid w:val="76037E52"/>
    <w:rsid w:val="760F48F9"/>
    <w:rsid w:val="761107C1"/>
    <w:rsid w:val="76336B58"/>
    <w:rsid w:val="76546DFE"/>
    <w:rsid w:val="76575F6F"/>
    <w:rsid w:val="76AF1D88"/>
    <w:rsid w:val="76CD07A5"/>
    <w:rsid w:val="76F542C5"/>
    <w:rsid w:val="770C3AF4"/>
    <w:rsid w:val="771E243C"/>
    <w:rsid w:val="77562203"/>
    <w:rsid w:val="777D20F3"/>
    <w:rsid w:val="77870867"/>
    <w:rsid w:val="77C74EAF"/>
    <w:rsid w:val="77C8506D"/>
    <w:rsid w:val="77D34BC7"/>
    <w:rsid w:val="7802269B"/>
    <w:rsid w:val="780E628B"/>
    <w:rsid w:val="7817792C"/>
    <w:rsid w:val="786C3726"/>
    <w:rsid w:val="787349D2"/>
    <w:rsid w:val="78AA6CAB"/>
    <w:rsid w:val="78AD0549"/>
    <w:rsid w:val="78AD6A33"/>
    <w:rsid w:val="78B73F82"/>
    <w:rsid w:val="78BD078C"/>
    <w:rsid w:val="78C37D6C"/>
    <w:rsid w:val="78DA7590"/>
    <w:rsid w:val="790463BB"/>
    <w:rsid w:val="79282F78"/>
    <w:rsid w:val="794123FC"/>
    <w:rsid w:val="79436A50"/>
    <w:rsid w:val="795F687F"/>
    <w:rsid w:val="797665B4"/>
    <w:rsid w:val="797C629C"/>
    <w:rsid w:val="798E49ED"/>
    <w:rsid w:val="79AE5211"/>
    <w:rsid w:val="79BA2F1D"/>
    <w:rsid w:val="79D51B05"/>
    <w:rsid w:val="7A136C1A"/>
    <w:rsid w:val="7A637111"/>
    <w:rsid w:val="7ABF1BAB"/>
    <w:rsid w:val="7AD26045"/>
    <w:rsid w:val="7AE05C82"/>
    <w:rsid w:val="7AF67F85"/>
    <w:rsid w:val="7B01196F"/>
    <w:rsid w:val="7B0F7299"/>
    <w:rsid w:val="7B1A4F1B"/>
    <w:rsid w:val="7B2A5E81"/>
    <w:rsid w:val="7B6018A2"/>
    <w:rsid w:val="7B6F1AE6"/>
    <w:rsid w:val="7B772214"/>
    <w:rsid w:val="7B851FE7"/>
    <w:rsid w:val="7BA3310C"/>
    <w:rsid w:val="7BB0282A"/>
    <w:rsid w:val="7BD03933"/>
    <w:rsid w:val="7BE16CE4"/>
    <w:rsid w:val="7BF92411"/>
    <w:rsid w:val="7C077F70"/>
    <w:rsid w:val="7C3A0345"/>
    <w:rsid w:val="7C4D62CB"/>
    <w:rsid w:val="7C686C61"/>
    <w:rsid w:val="7C727ADF"/>
    <w:rsid w:val="7C8E41ED"/>
    <w:rsid w:val="7CB124F5"/>
    <w:rsid w:val="7CC77E2B"/>
    <w:rsid w:val="7CD662C0"/>
    <w:rsid w:val="7D014DAE"/>
    <w:rsid w:val="7D2E7EAA"/>
    <w:rsid w:val="7D506EB5"/>
    <w:rsid w:val="7D562F5D"/>
    <w:rsid w:val="7D6A7EF0"/>
    <w:rsid w:val="7D99109C"/>
    <w:rsid w:val="7DC73E5B"/>
    <w:rsid w:val="7E1252CE"/>
    <w:rsid w:val="7E5543CA"/>
    <w:rsid w:val="7E5A6A7D"/>
    <w:rsid w:val="7E7933A7"/>
    <w:rsid w:val="7E81400A"/>
    <w:rsid w:val="7E927FC5"/>
    <w:rsid w:val="7E9B156F"/>
    <w:rsid w:val="7ED607F9"/>
    <w:rsid w:val="7EFE565A"/>
    <w:rsid w:val="7F1C716D"/>
    <w:rsid w:val="7F363046"/>
    <w:rsid w:val="7F413799"/>
    <w:rsid w:val="7F5564FC"/>
    <w:rsid w:val="7F6A0F42"/>
    <w:rsid w:val="7F7040DF"/>
    <w:rsid w:val="7F912972"/>
    <w:rsid w:val="7F9B559F"/>
    <w:rsid w:val="7FAB20C8"/>
    <w:rsid w:val="7FE26D2A"/>
  </w:rsids>
  <m:mathPr>
    <m:mathFont m:val="Cambria Math"/>
    <m:brkBin m:val="before"/>
    <m:brkBinSub m:val="--"/>
    <m:smallFrac m:val="1"/>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0" w:semiHidden="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4">
    <w:name w:val="heading 1"/>
    <w:basedOn w:val="1"/>
    <w:next w:val="1"/>
    <w:link w:val="29"/>
    <w:autoRedefine/>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line="360" w:lineRule="auto"/>
      <w:ind w:firstLine="420" w:firstLineChars="200"/>
    </w:pPr>
  </w:style>
  <w:style w:type="paragraph" w:styleId="3">
    <w:name w:val="Body Text Indent"/>
    <w:basedOn w:val="1"/>
    <w:qFormat/>
    <w:uiPriority w:val="0"/>
    <w:pPr>
      <w:spacing w:after="120"/>
      <w:ind w:left="420" w:leftChars="200"/>
    </w:pPr>
  </w:style>
  <w:style w:type="paragraph" w:styleId="5">
    <w:name w:val="Document Map"/>
    <w:basedOn w:val="1"/>
    <w:link w:val="27"/>
    <w:unhideWhenUsed/>
    <w:qFormat/>
    <w:uiPriority w:val="99"/>
    <w:rPr>
      <w:rFonts w:ascii="宋体"/>
      <w:sz w:val="18"/>
      <w:szCs w:val="18"/>
    </w:rPr>
  </w:style>
  <w:style w:type="paragraph" w:styleId="6">
    <w:name w:val="annotation text"/>
    <w:basedOn w:val="1"/>
    <w:link w:val="25"/>
    <w:autoRedefine/>
    <w:unhideWhenUsed/>
    <w:qFormat/>
    <w:uiPriority w:val="0"/>
    <w:pPr>
      <w:jc w:val="left"/>
    </w:pPr>
  </w:style>
  <w:style w:type="paragraph" w:styleId="7">
    <w:name w:val="Plain Text"/>
    <w:basedOn w:val="1"/>
    <w:link w:val="22"/>
    <w:qFormat/>
    <w:uiPriority w:val="0"/>
    <w:pPr>
      <w:adjustRightInd w:val="0"/>
      <w:spacing w:line="312" w:lineRule="atLeast"/>
      <w:textAlignment w:val="baseline"/>
    </w:pPr>
    <w:rPr>
      <w:rFonts w:ascii="宋体" w:hAnsi="Courier New"/>
      <w:kern w:val="0"/>
      <w:sz w:val="21"/>
      <w:szCs w:val="20"/>
    </w:rPr>
  </w:style>
  <w:style w:type="paragraph" w:styleId="8">
    <w:name w:val="Date"/>
    <w:basedOn w:val="1"/>
    <w:next w:val="1"/>
    <w:link w:val="33"/>
    <w:unhideWhenUsed/>
    <w:qFormat/>
    <w:uiPriority w:val="0"/>
    <w:pPr>
      <w:ind w:left="100" w:leftChars="2500"/>
    </w:pPr>
  </w:style>
  <w:style w:type="paragraph" w:styleId="9">
    <w:name w:val="Balloon Text"/>
    <w:basedOn w:val="1"/>
    <w:link w:val="24"/>
    <w:unhideWhenUsed/>
    <w:qFormat/>
    <w:uiPriority w:val="99"/>
    <w:rPr>
      <w:sz w:val="18"/>
      <w:szCs w:val="18"/>
    </w:rPr>
  </w:style>
  <w:style w:type="paragraph" w:styleId="10">
    <w:name w:val="footer"/>
    <w:basedOn w:val="1"/>
    <w:link w:val="20"/>
    <w:unhideWhenUsed/>
    <w:qFormat/>
    <w:uiPriority w:val="99"/>
    <w:pPr>
      <w:tabs>
        <w:tab w:val="center" w:pos="4153"/>
        <w:tab w:val="right" w:pos="8306"/>
      </w:tabs>
      <w:snapToGrid w:val="0"/>
      <w:jc w:val="left"/>
    </w:pPr>
    <w:rPr>
      <w:rFonts w:ascii="Calibri" w:hAnsi="Calibri" w:eastAsia="黑体" w:cs="黑体"/>
      <w:sz w:val="18"/>
      <w:szCs w:val="18"/>
    </w:rPr>
  </w:style>
  <w:style w:type="paragraph" w:styleId="11">
    <w:name w:val="header"/>
    <w:basedOn w:val="1"/>
    <w:link w:val="19"/>
    <w:autoRedefine/>
    <w:unhideWhenUsed/>
    <w:qFormat/>
    <w:uiPriority w:val="99"/>
    <w:pPr>
      <w:pBdr>
        <w:bottom w:val="single" w:color="auto" w:sz="6" w:space="1"/>
      </w:pBdr>
      <w:tabs>
        <w:tab w:val="center" w:pos="4153"/>
        <w:tab w:val="right" w:pos="8306"/>
      </w:tabs>
      <w:snapToGrid w:val="0"/>
      <w:jc w:val="center"/>
    </w:pPr>
    <w:rPr>
      <w:rFonts w:ascii="Calibri" w:hAnsi="Calibri" w:eastAsia="黑体" w:cs="黑体"/>
      <w:sz w:val="18"/>
      <w:szCs w:val="18"/>
    </w:rPr>
  </w:style>
  <w:style w:type="paragraph" w:styleId="12">
    <w:name w:val="HTML Preformatted"/>
    <w:basedOn w:val="1"/>
    <w:link w:val="2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rPr>
  </w:style>
  <w:style w:type="paragraph" w:styleId="13">
    <w:name w:val="annotation subject"/>
    <w:basedOn w:val="6"/>
    <w:next w:val="6"/>
    <w:link w:val="26"/>
    <w:unhideWhenUsed/>
    <w:qFormat/>
    <w:uiPriority w:val="99"/>
    <w:rPr>
      <w:b/>
      <w:bCs/>
    </w:rPr>
  </w:style>
  <w:style w:type="table" w:styleId="15">
    <w:name w:val="Table Grid"/>
    <w:basedOn w:val="14"/>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7">
    <w:name w:val="annotation reference"/>
    <w:basedOn w:val="16"/>
    <w:unhideWhenUsed/>
    <w:qFormat/>
    <w:uiPriority w:val="99"/>
    <w:rPr>
      <w:sz w:val="18"/>
      <w:szCs w:val="18"/>
    </w:rPr>
  </w:style>
  <w:style w:type="paragraph" w:customStyle="1" w:styleId="18">
    <w:name w:val="列出段落1"/>
    <w:basedOn w:val="1"/>
    <w:qFormat/>
    <w:uiPriority w:val="34"/>
    <w:pPr>
      <w:ind w:firstLine="420" w:firstLineChars="200"/>
    </w:pPr>
  </w:style>
  <w:style w:type="character" w:customStyle="1" w:styleId="19">
    <w:name w:val="页眉 字符"/>
    <w:basedOn w:val="16"/>
    <w:link w:val="11"/>
    <w:autoRedefine/>
    <w:semiHidden/>
    <w:qFormat/>
    <w:uiPriority w:val="99"/>
    <w:rPr>
      <w:sz w:val="18"/>
      <w:szCs w:val="18"/>
    </w:rPr>
  </w:style>
  <w:style w:type="character" w:customStyle="1" w:styleId="20">
    <w:name w:val="页脚 字符"/>
    <w:basedOn w:val="16"/>
    <w:link w:val="10"/>
    <w:qFormat/>
    <w:uiPriority w:val="99"/>
    <w:rPr>
      <w:sz w:val="18"/>
      <w:szCs w:val="18"/>
    </w:rPr>
  </w:style>
  <w:style w:type="character" w:customStyle="1" w:styleId="21">
    <w:name w:val="纯文本 Char"/>
    <w:basedOn w:val="16"/>
    <w:semiHidden/>
    <w:qFormat/>
    <w:uiPriority w:val="99"/>
    <w:rPr>
      <w:rFonts w:ascii="宋体" w:hAnsi="Courier New" w:eastAsia="宋体" w:cs="Courier New"/>
      <w:szCs w:val="21"/>
    </w:rPr>
  </w:style>
  <w:style w:type="character" w:customStyle="1" w:styleId="22">
    <w:name w:val="纯文本 字符"/>
    <w:link w:val="7"/>
    <w:autoRedefine/>
    <w:qFormat/>
    <w:uiPriority w:val="0"/>
    <w:rPr>
      <w:rFonts w:ascii="宋体" w:hAnsi="Courier New" w:eastAsia="宋体" w:cs="Times New Roman"/>
      <w:kern w:val="0"/>
      <w:szCs w:val="20"/>
    </w:rPr>
  </w:style>
  <w:style w:type="character" w:customStyle="1" w:styleId="23">
    <w:name w:val="HTML 预设格式 字符"/>
    <w:basedOn w:val="16"/>
    <w:link w:val="12"/>
    <w:semiHidden/>
    <w:qFormat/>
    <w:uiPriority w:val="99"/>
    <w:rPr>
      <w:rFonts w:ascii="宋体" w:hAnsi="宋体" w:eastAsia="宋体" w:cs="宋体"/>
      <w:kern w:val="0"/>
      <w:sz w:val="24"/>
      <w:szCs w:val="24"/>
    </w:rPr>
  </w:style>
  <w:style w:type="character" w:customStyle="1" w:styleId="24">
    <w:name w:val="批注框文本 字符"/>
    <w:basedOn w:val="16"/>
    <w:link w:val="9"/>
    <w:autoRedefine/>
    <w:semiHidden/>
    <w:qFormat/>
    <w:uiPriority w:val="99"/>
    <w:rPr>
      <w:rFonts w:ascii="Times New Roman" w:hAnsi="Times New Roman" w:eastAsia="宋体" w:cs="Times New Roman"/>
      <w:sz w:val="18"/>
      <w:szCs w:val="18"/>
    </w:rPr>
  </w:style>
  <w:style w:type="character" w:customStyle="1" w:styleId="25">
    <w:name w:val="批注文字 字符"/>
    <w:basedOn w:val="16"/>
    <w:link w:val="6"/>
    <w:autoRedefine/>
    <w:semiHidden/>
    <w:qFormat/>
    <w:uiPriority w:val="0"/>
    <w:rPr>
      <w:rFonts w:ascii="Times New Roman" w:hAnsi="Times New Roman" w:eastAsia="宋体" w:cs="Times New Roman"/>
      <w:sz w:val="24"/>
      <w:szCs w:val="24"/>
    </w:rPr>
  </w:style>
  <w:style w:type="character" w:customStyle="1" w:styleId="26">
    <w:name w:val="批注主题 字符"/>
    <w:basedOn w:val="25"/>
    <w:link w:val="13"/>
    <w:autoRedefine/>
    <w:semiHidden/>
    <w:qFormat/>
    <w:uiPriority w:val="99"/>
    <w:rPr>
      <w:rFonts w:ascii="Times New Roman" w:hAnsi="Times New Roman" w:eastAsia="宋体" w:cs="Times New Roman"/>
      <w:b/>
      <w:bCs/>
      <w:sz w:val="24"/>
      <w:szCs w:val="24"/>
    </w:rPr>
  </w:style>
  <w:style w:type="character" w:customStyle="1" w:styleId="27">
    <w:name w:val="文档结构图 字符"/>
    <w:basedOn w:val="16"/>
    <w:link w:val="5"/>
    <w:semiHidden/>
    <w:qFormat/>
    <w:uiPriority w:val="99"/>
    <w:rPr>
      <w:rFonts w:ascii="宋体" w:hAnsi="Times New Roman" w:eastAsia="宋体" w:cs="Times New Roman"/>
      <w:sz w:val="18"/>
      <w:szCs w:val="18"/>
    </w:rPr>
  </w:style>
  <w:style w:type="paragraph" w:customStyle="1" w:styleId="28">
    <w:name w:val="修订1"/>
    <w:autoRedefine/>
    <w:hidden/>
    <w:unhideWhenUsed/>
    <w:qFormat/>
    <w:uiPriority w:val="99"/>
    <w:rPr>
      <w:rFonts w:ascii="Times New Roman" w:hAnsi="Times New Roman" w:eastAsia="宋体" w:cs="Times New Roman"/>
      <w:kern w:val="2"/>
      <w:sz w:val="24"/>
      <w:szCs w:val="24"/>
      <w:lang w:val="en-US" w:eastAsia="zh-CN" w:bidi="ar-SA"/>
    </w:rPr>
  </w:style>
  <w:style w:type="character" w:customStyle="1" w:styleId="29">
    <w:name w:val="标题 1 字符"/>
    <w:basedOn w:val="16"/>
    <w:link w:val="4"/>
    <w:autoRedefine/>
    <w:qFormat/>
    <w:uiPriority w:val="9"/>
    <w:rPr>
      <w:rFonts w:ascii="宋体" w:hAnsi="宋体" w:cs="宋体"/>
      <w:b/>
      <w:bCs/>
      <w:kern w:val="36"/>
      <w:sz w:val="48"/>
      <w:szCs w:val="48"/>
    </w:rPr>
  </w:style>
  <w:style w:type="paragraph" w:customStyle="1" w:styleId="30">
    <w:name w:val="修订2"/>
    <w:autoRedefine/>
    <w:hidden/>
    <w:semiHidden/>
    <w:qFormat/>
    <w:uiPriority w:val="99"/>
    <w:rPr>
      <w:rFonts w:ascii="Times New Roman" w:hAnsi="Times New Roman" w:eastAsia="宋体" w:cs="Times New Roman"/>
      <w:kern w:val="2"/>
      <w:sz w:val="24"/>
      <w:szCs w:val="24"/>
      <w:lang w:val="en-US" w:eastAsia="zh-CN" w:bidi="ar-SA"/>
    </w:rPr>
  </w:style>
  <w:style w:type="paragraph" w:customStyle="1" w:styleId="31">
    <w:name w:val="列出段落2"/>
    <w:basedOn w:val="1"/>
    <w:unhideWhenUsed/>
    <w:qFormat/>
    <w:uiPriority w:val="99"/>
    <w:pPr>
      <w:ind w:firstLine="420" w:firstLineChars="200"/>
    </w:pPr>
  </w:style>
  <w:style w:type="paragraph" w:customStyle="1" w:styleId="32">
    <w:name w:val="修订3"/>
    <w:autoRedefine/>
    <w:hidden/>
    <w:semiHidden/>
    <w:qFormat/>
    <w:uiPriority w:val="99"/>
    <w:rPr>
      <w:rFonts w:ascii="Times New Roman" w:hAnsi="Times New Roman" w:eastAsia="宋体" w:cs="Times New Roman"/>
      <w:kern w:val="2"/>
      <w:sz w:val="24"/>
      <w:szCs w:val="24"/>
      <w:lang w:val="en-US" w:eastAsia="zh-CN" w:bidi="ar-SA"/>
    </w:rPr>
  </w:style>
  <w:style w:type="character" w:customStyle="1" w:styleId="33">
    <w:name w:val="日期 字符"/>
    <w:basedOn w:val="16"/>
    <w:link w:val="8"/>
    <w:semiHidden/>
    <w:qFormat/>
    <w:uiPriority w:val="0"/>
    <w:rPr>
      <w:kern w:val="2"/>
      <w:sz w:val="24"/>
      <w:szCs w:val="24"/>
    </w:rPr>
  </w:style>
  <w:style w:type="paragraph" w:customStyle="1" w:styleId="34">
    <w:name w:val="列出段落3"/>
    <w:basedOn w:val="1"/>
    <w:autoRedefine/>
    <w:qFormat/>
    <w:uiPriority w:val="99"/>
    <w:pPr>
      <w:ind w:firstLine="420" w:firstLineChars="200"/>
    </w:pPr>
  </w:style>
  <w:style w:type="paragraph" w:customStyle="1" w:styleId="35">
    <w:name w:val="Table Paragraph"/>
    <w:basedOn w:val="1"/>
    <w:autoRedefine/>
    <w:qFormat/>
    <w:uiPriority w:val="1"/>
    <w:pPr>
      <w:jc w:val="center"/>
    </w:pPr>
    <w:rPr>
      <w:rFonts w:eastAsia="Times New Roman"/>
      <w:lang w:val="zh-CN" w:bidi="zh-CN"/>
    </w:rPr>
  </w:style>
  <w:style w:type="character" w:customStyle="1" w:styleId="36">
    <w:name w:val="font21"/>
    <w:basedOn w:val="16"/>
    <w:autoRedefine/>
    <w:qFormat/>
    <w:uiPriority w:val="0"/>
    <w:rPr>
      <w:rFonts w:hint="eastAsia" w:ascii="宋体" w:hAnsi="宋体" w:eastAsia="宋体" w:cs="宋体"/>
      <w:color w:val="000000"/>
      <w:sz w:val="21"/>
      <w:szCs w:val="21"/>
      <w:u w:val="none"/>
    </w:rPr>
  </w:style>
  <w:style w:type="character" w:customStyle="1" w:styleId="37">
    <w:name w:val="font31"/>
    <w:basedOn w:val="16"/>
    <w:autoRedefine/>
    <w:qFormat/>
    <w:uiPriority w:val="0"/>
    <w:rPr>
      <w:rFonts w:hint="eastAsia" w:ascii="宋体" w:hAnsi="宋体" w:eastAsia="宋体" w:cs="宋体"/>
      <w:color w:val="000000"/>
      <w:sz w:val="18"/>
      <w:szCs w:val="18"/>
      <w:u w:val="none"/>
    </w:rPr>
  </w:style>
  <w:style w:type="character" w:customStyle="1" w:styleId="38">
    <w:name w:val="font11"/>
    <w:basedOn w:val="16"/>
    <w:qFormat/>
    <w:uiPriority w:val="0"/>
    <w:rPr>
      <w:rFonts w:hint="eastAsia" w:ascii="宋体" w:hAnsi="宋体" w:eastAsia="宋体" w:cs="宋体"/>
      <w:color w:val="000000"/>
      <w:sz w:val="18"/>
      <w:szCs w:val="18"/>
      <w:u w:val="none"/>
    </w:rPr>
  </w:style>
  <w:style w:type="paragraph" w:customStyle="1" w:styleId="39">
    <w:name w:val="修订4"/>
    <w:hidden/>
    <w:semiHidden/>
    <w:qFormat/>
    <w:uiPriority w:val="99"/>
    <w:rPr>
      <w:rFonts w:ascii="Times New Roman" w:hAnsi="Times New Roman"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3B78F7-7F8D-41DF-A4E1-90AC49E45B9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42</Pages>
  <Words>19556</Words>
  <Characters>20550</Characters>
  <Lines>182</Lines>
  <Paragraphs>51</Paragraphs>
  <TotalTime>2</TotalTime>
  <ScaleCrop>false</ScaleCrop>
  <LinksUpToDate>false</LinksUpToDate>
  <CharactersWithSpaces>21015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2017-12-15T06:49:00Z</dcterms:created>
  <dc:creator>mz</dc:creator>
  <cp:lastModifiedBy>天空大麦茶</cp:lastModifiedBy>
  <cp:lastPrinted>2023-08-03T03:21:00Z</cp:lastPrinted>
  <dcterms:modified xsi:type="dcterms:W3CDTF">2024-01-03T06:10:11Z</dcterms:modified>
  <dc:title>合同编号：</dc:title>
  <cp:revision>437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6D3053EA903640B4B05CF0A635A4C697_13</vt:lpwstr>
  </property>
</Properties>
</file>